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C22" w:rsidRPr="00BC5100" w:rsidRDefault="00082C22" w:rsidP="00082C22">
      <w:pPr>
        <w:widowControl w:val="0"/>
        <w:autoSpaceDE w:val="0"/>
        <w:autoSpaceDN w:val="0"/>
        <w:adjustRightInd w:val="0"/>
        <w:rPr>
          <w:sz w:val="22"/>
          <w:szCs w:val="22"/>
          <w:lang w:eastAsia="ja-JP"/>
        </w:rPr>
      </w:pPr>
    </w:p>
    <w:p w:rsidR="00082C22" w:rsidRDefault="00082C22" w:rsidP="00082C22">
      <w:pPr>
        <w:widowControl w:val="0"/>
        <w:autoSpaceDE w:val="0"/>
        <w:autoSpaceDN w:val="0"/>
        <w:adjustRightInd w:val="0"/>
        <w:jc w:val="center"/>
        <w:rPr>
          <w:sz w:val="22"/>
          <w:szCs w:val="22"/>
          <w:lang w:eastAsia="ja-JP"/>
        </w:rPr>
      </w:pPr>
    </w:p>
    <w:p w:rsidR="00082C22" w:rsidRDefault="00082C22" w:rsidP="00082C22">
      <w:pPr>
        <w:widowControl w:val="0"/>
        <w:autoSpaceDE w:val="0"/>
        <w:autoSpaceDN w:val="0"/>
        <w:adjustRightInd w:val="0"/>
        <w:jc w:val="center"/>
        <w:rPr>
          <w:sz w:val="22"/>
          <w:szCs w:val="22"/>
          <w:lang w:eastAsia="ja-JP"/>
        </w:rPr>
      </w:pPr>
    </w:p>
    <w:p w:rsidR="00082C22" w:rsidRDefault="00082C22" w:rsidP="00082C22">
      <w:pPr>
        <w:widowControl w:val="0"/>
        <w:autoSpaceDE w:val="0"/>
        <w:autoSpaceDN w:val="0"/>
        <w:adjustRightInd w:val="0"/>
        <w:jc w:val="center"/>
        <w:rPr>
          <w:sz w:val="22"/>
          <w:szCs w:val="22"/>
          <w:lang w:eastAsia="ja-JP"/>
        </w:rPr>
      </w:pPr>
    </w:p>
    <w:p w:rsidR="00082C22" w:rsidRDefault="00082C22" w:rsidP="00082C22">
      <w:pPr>
        <w:widowControl w:val="0"/>
        <w:autoSpaceDE w:val="0"/>
        <w:autoSpaceDN w:val="0"/>
        <w:adjustRightInd w:val="0"/>
        <w:jc w:val="center"/>
        <w:rPr>
          <w:sz w:val="22"/>
          <w:szCs w:val="22"/>
          <w:lang w:eastAsia="ja-JP"/>
        </w:rPr>
      </w:pPr>
      <w:r w:rsidRPr="00840131">
        <w:rPr>
          <w:rFonts w:ascii="Apple Chancery" w:hAnsi="Apple Chancery" w:cs="Apple Chancery"/>
          <w:noProof/>
          <w:color w:val="E36C0A" w:themeColor="accent6" w:themeShade="BF"/>
          <w:sz w:val="20"/>
          <w:szCs w:val="20"/>
        </w:rPr>
        <w:drawing>
          <wp:inline distT="0" distB="0" distL="0" distR="0">
            <wp:extent cx="1219412" cy="304093"/>
            <wp:effectExtent l="0" t="0" r="0" b="1270"/>
            <wp:docPr id="7"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884" t="18920" r="69104" b="68444"/>
                    <a:stretch/>
                  </pic:blipFill>
                  <pic:spPr>
                    <a:xfrm>
                      <a:off x="0" y="0"/>
                      <a:ext cx="1219412" cy="304093"/>
                    </a:xfrm>
                    <a:prstGeom prst="rect">
                      <a:avLst/>
                    </a:prstGeom>
                  </pic:spPr>
                </pic:pic>
              </a:graphicData>
            </a:graphic>
          </wp:inline>
        </w:drawing>
      </w:r>
    </w:p>
    <w:p w:rsidR="00082C22" w:rsidRPr="00126D3C" w:rsidRDefault="00082C22" w:rsidP="00082C22">
      <w:pPr>
        <w:widowControl w:val="0"/>
        <w:autoSpaceDE w:val="0"/>
        <w:autoSpaceDN w:val="0"/>
        <w:adjustRightInd w:val="0"/>
        <w:rPr>
          <w:sz w:val="22"/>
          <w:szCs w:val="22"/>
          <w:lang w:eastAsia="ja-JP"/>
        </w:rPr>
      </w:pPr>
    </w:p>
    <w:p w:rsidR="00082C22" w:rsidRPr="00755F24" w:rsidRDefault="00082C22" w:rsidP="00082C22">
      <w:pPr>
        <w:widowControl w:val="0"/>
        <w:autoSpaceDE w:val="0"/>
        <w:autoSpaceDN w:val="0"/>
        <w:adjustRightInd w:val="0"/>
        <w:jc w:val="center"/>
        <w:rPr>
          <w:lang w:eastAsia="ja-JP"/>
        </w:rPr>
      </w:pPr>
      <w:r w:rsidRPr="00755F24">
        <w:rPr>
          <w:lang w:eastAsia="ja-JP"/>
        </w:rPr>
        <w:t>XI</w:t>
      </w:r>
      <w:r>
        <w:rPr>
          <w:lang w:eastAsia="ja-JP"/>
        </w:rPr>
        <w:t>I</w:t>
      </w:r>
      <w:r w:rsidRPr="00755F24">
        <w:rPr>
          <w:vertAlign w:val="superscript"/>
          <w:lang w:eastAsia="ja-JP"/>
        </w:rPr>
        <w:t>e</w:t>
      </w:r>
      <w:r w:rsidRPr="00755F24">
        <w:rPr>
          <w:lang w:eastAsia="ja-JP"/>
        </w:rPr>
        <w:t xml:space="preserve"> Rencontres Méridionales de Préhistoire Récente</w:t>
      </w:r>
    </w:p>
    <w:p w:rsidR="00082C22" w:rsidRPr="00755F24" w:rsidRDefault="00082C22" w:rsidP="00082C22">
      <w:pPr>
        <w:widowControl w:val="0"/>
        <w:autoSpaceDE w:val="0"/>
        <w:autoSpaceDN w:val="0"/>
        <w:adjustRightInd w:val="0"/>
        <w:jc w:val="center"/>
        <w:rPr>
          <w:lang w:eastAsia="ja-JP"/>
        </w:rPr>
      </w:pPr>
      <w:r w:rsidRPr="00755F24">
        <w:rPr>
          <w:lang w:eastAsia="ja-JP"/>
        </w:rPr>
        <w:t>« </w:t>
      </w:r>
      <w:r>
        <w:rPr>
          <w:i/>
          <w:lang w:eastAsia="ja-JP"/>
        </w:rPr>
        <w:t>Entre deux mers</w:t>
      </w:r>
      <w:r w:rsidRPr="00755F24">
        <w:rPr>
          <w:i/>
          <w:lang w:eastAsia="ja-JP"/>
        </w:rPr>
        <w:t> </w:t>
      </w:r>
      <w:r w:rsidRPr="00755F24">
        <w:rPr>
          <w:lang w:eastAsia="ja-JP"/>
        </w:rPr>
        <w:t>»</w:t>
      </w:r>
    </w:p>
    <w:p w:rsidR="00082C22" w:rsidRPr="00755F24" w:rsidRDefault="00082C22" w:rsidP="00082C22">
      <w:pPr>
        <w:widowControl w:val="0"/>
        <w:autoSpaceDE w:val="0"/>
        <w:autoSpaceDN w:val="0"/>
        <w:adjustRightInd w:val="0"/>
        <w:jc w:val="center"/>
        <w:rPr>
          <w:lang w:eastAsia="ja-JP"/>
        </w:rPr>
      </w:pPr>
      <w:r w:rsidRPr="00755F24">
        <w:rPr>
          <w:lang w:eastAsia="ja-JP"/>
        </w:rPr>
        <w:t xml:space="preserve">et </w:t>
      </w:r>
    </w:p>
    <w:p w:rsidR="00082C22" w:rsidRPr="00755F24" w:rsidRDefault="00082C22" w:rsidP="00082C22">
      <w:pPr>
        <w:widowControl w:val="0"/>
        <w:autoSpaceDE w:val="0"/>
        <w:autoSpaceDN w:val="0"/>
        <w:adjustRightInd w:val="0"/>
        <w:jc w:val="center"/>
        <w:rPr>
          <w:lang w:eastAsia="ja-JP"/>
        </w:rPr>
      </w:pPr>
      <w:r w:rsidRPr="00755F24">
        <w:rPr>
          <w:lang w:eastAsia="ja-JP"/>
        </w:rPr>
        <w:t>Actualité de la Recherche</w:t>
      </w:r>
    </w:p>
    <w:p w:rsidR="00082C22" w:rsidRPr="00755F24" w:rsidRDefault="00082C22" w:rsidP="00082C22">
      <w:pPr>
        <w:widowControl w:val="0"/>
        <w:autoSpaceDE w:val="0"/>
        <w:autoSpaceDN w:val="0"/>
        <w:adjustRightInd w:val="0"/>
        <w:jc w:val="center"/>
        <w:rPr>
          <w:lang w:eastAsia="ja-JP"/>
        </w:rPr>
      </w:pPr>
    </w:p>
    <w:p w:rsidR="00082C22" w:rsidRPr="00755F24" w:rsidRDefault="00082C22" w:rsidP="00082C22">
      <w:pPr>
        <w:widowControl w:val="0"/>
        <w:autoSpaceDE w:val="0"/>
        <w:autoSpaceDN w:val="0"/>
        <w:adjustRightInd w:val="0"/>
        <w:jc w:val="center"/>
        <w:rPr>
          <w:lang w:eastAsia="ja-JP"/>
        </w:rPr>
      </w:pPr>
      <w:r>
        <w:rPr>
          <w:lang w:eastAsia="ja-JP"/>
        </w:rPr>
        <w:t>Bayonne</w:t>
      </w:r>
      <w:r w:rsidRPr="00755F24">
        <w:rPr>
          <w:lang w:eastAsia="ja-JP"/>
        </w:rPr>
        <w:t xml:space="preserve"> –</w:t>
      </w:r>
      <w:r>
        <w:rPr>
          <w:lang w:eastAsia="ja-JP"/>
        </w:rPr>
        <w:t xml:space="preserve"> 29 septembre au 1</w:t>
      </w:r>
      <w:r w:rsidRPr="00DA0F6F">
        <w:rPr>
          <w:vertAlign w:val="superscript"/>
          <w:lang w:eastAsia="ja-JP"/>
        </w:rPr>
        <w:t>er</w:t>
      </w:r>
      <w:r>
        <w:rPr>
          <w:lang w:eastAsia="ja-JP"/>
        </w:rPr>
        <w:t xml:space="preserve"> octobre 2016</w:t>
      </w:r>
    </w:p>
    <w:p w:rsidR="00082C22" w:rsidRPr="00755F24" w:rsidRDefault="00082C22" w:rsidP="00082C22">
      <w:pPr>
        <w:widowControl w:val="0"/>
        <w:autoSpaceDE w:val="0"/>
        <w:autoSpaceDN w:val="0"/>
        <w:adjustRightInd w:val="0"/>
        <w:jc w:val="center"/>
        <w:rPr>
          <w:lang w:eastAsia="ja-JP"/>
        </w:rPr>
      </w:pPr>
    </w:p>
    <w:p w:rsidR="00082C22" w:rsidRDefault="00082C22" w:rsidP="00082C22">
      <w:pPr>
        <w:widowControl w:val="0"/>
        <w:autoSpaceDE w:val="0"/>
        <w:autoSpaceDN w:val="0"/>
        <w:adjustRightInd w:val="0"/>
        <w:jc w:val="center"/>
        <w:rPr>
          <w:lang w:eastAsia="ja-JP"/>
        </w:rPr>
      </w:pPr>
      <w:r w:rsidRPr="00755F24">
        <w:rPr>
          <w:lang w:eastAsia="ja-JP"/>
        </w:rPr>
        <w:t>Appel à communication</w:t>
      </w:r>
    </w:p>
    <w:p w:rsidR="00082C22" w:rsidRPr="00755F24" w:rsidRDefault="00082C22" w:rsidP="00082C22">
      <w:pPr>
        <w:widowControl w:val="0"/>
        <w:autoSpaceDE w:val="0"/>
        <w:autoSpaceDN w:val="0"/>
        <w:adjustRightInd w:val="0"/>
        <w:jc w:val="center"/>
        <w:rPr>
          <w:sz w:val="20"/>
          <w:szCs w:val="20"/>
          <w:lang w:eastAsia="ja-JP"/>
        </w:rPr>
      </w:pPr>
    </w:p>
    <w:p w:rsidR="00082C22" w:rsidRPr="00755F24" w:rsidRDefault="00082C22" w:rsidP="00082C22">
      <w:pPr>
        <w:widowControl w:val="0"/>
        <w:autoSpaceDE w:val="0"/>
        <w:autoSpaceDN w:val="0"/>
        <w:adjustRightInd w:val="0"/>
        <w:ind w:firstLine="284"/>
        <w:jc w:val="both"/>
        <w:rPr>
          <w:sz w:val="20"/>
          <w:szCs w:val="20"/>
          <w:lang w:eastAsia="ja-JP"/>
        </w:rPr>
      </w:pPr>
    </w:p>
    <w:p w:rsidR="00082C22" w:rsidRPr="00DA0F6F" w:rsidRDefault="00082C22" w:rsidP="00082C22">
      <w:pPr>
        <w:ind w:firstLine="284"/>
        <w:contextualSpacing/>
        <w:jc w:val="both"/>
        <w:rPr>
          <w:sz w:val="20"/>
          <w:szCs w:val="20"/>
        </w:rPr>
      </w:pPr>
      <w:r w:rsidRPr="00DA0F6F">
        <w:rPr>
          <w:sz w:val="20"/>
          <w:szCs w:val="20"/>
        </w:rPr>
        <w:t>En accueillant les prochaines Rencontres Méridionales de Préhistoire Récente à Bayonne, en 2016, nous souhaitons donner un coup d’éclairage sur le sud-ouest de la France, secteur clé pour la compréhension des dynamiques socio-économiques et territoriales de la fin de la Préhistoire, à l’interface des mondes méditerranéen et atlantique. À l’écart des grands pôles de recherche et des grands aménagements, cette région reste peu documentée et souvent absente des synthèses nationales. Difficiles à détecter dans des contextes sédimentaires (Landes) et topographiques (Pyrénées) complexes, plusieurs sites ont tout de même été découverts et fouillés ces vingt dernières années dans le cadre préventif, à l’occasion de grands travaux récents, tels l’autoroute A65, et d’opérations programmées (PCR et fouilles). Accueillie pour la première fois dans les Pyrénées occidentales, cette édition des RMPR sera l’occasion de présenter les résultats des dernières recherches ainsi que des travaux de synthèse sur cette zone de carrefour naturel, dans une journée thématique intitulée « entre deux mers ».</w:t>
      </w:r>
    </w:p>
    <w:p w:rsidR="00082C22" w:rsidRPr="00DA0F6F" w:rsidRDefault="00082C22" w:rsidP="00082C22">
      <w:pPr>
        <w:ind w:firstLine="284"/>
        <w:contextualSpacing/>
        <w:jc w:val="both"/>
        <w:rPr>
          <w:sz w:val="20"/>
          <w:szCs w:val="20"/>
        </w:rPr>
      </w:pPr>
    </w:p>
    <w:p w:rsidR="00082C22" w:rsidRPr="00DA0F6F" w:rsidRDefault="00082C22" w:rsidP="00082C22">
      <w:pPr>
        <w:ind w:firstLine="284"/>
        <w:contextualSpacing/>
        <w:jc w:val="both"/>
        <w:rPr>
          <w:sz w:val="20"/>
          <w:szCs w:val="20"/>
        </w:rPr>
      </w:pPr>
      <w:r w:rsidRPr="00DA0F6F">
        <w:rPr>
          <w:sz w:val="20"/>
          <w:szCs w:val="20"/>
        </w:rPr>
        <w:t>Situé entre de larges vallées qui jouent le rôle de voie de circulation, comme l’Èbre et la Garonne, tout en étant traversé par les montagnes pyrénéennes qui contraignent au contraire les déplacements et les implantations anthropiques, le sud-ouest de la France constitue un excellent laboratoire d’étude des sociétés humaines de la fin de la Préhistoire sur le temps long. Au cours de la journée thématique, nous souhaitons aborder les relations entre les mondes atlantique et méditerranéen et entre les espaces péninsulaire et continental sur les deux versants  des Pyrénées, à travers des études fondées notamment sur l’analyse des architectures, des modalités d’occupation, des pratiques funéraires, des artefacts et écofacts ou encore dans le cadre de réflexions plus générales sur les modèles d’implantation humaine. Dans ce cadre, les travaux de synthèse seront privilégiés, y compris ceux traitant des régions aux marges du Sud-Ouest, en ouvrant largement la discussion à nos collègues espagnols.</w:t>
      </w:r>
    </w:p>
    <w:p w:rsidR="00082C22" w:rsidRPr="00DA0F6F" w:rsidRDefault="00082C22" w:rsidP="00082C22">
      <w:pPr>
        <w:ind w:firstLine="284"/>
        <w:contextualSpacing/>
        <w:jc w:val="both"/>
        <w:rPr>
          <w:sz w:val="20"/>
          <w:szCs w:val="20"/>
        </w:rPr>
      </w:pPr>
    </w:p>
    <w:p w:rsidR="00082C22" w:rsidRPr="00DA0F6F" w:rsidRDefault="00082C22" w:rsidP="00082C22">
      <w:pPr>
        <w:ind w:firstLine="284"/>
        <w:contextualSpacing/>
        <w:jc w:val="both"/>
        <w:rPr>
          <w:sz w:val="20"/>
          <w:szCs w:val="20"/>
        </w:rPr>
      </w:pPr>
      <w:r w:rsidRPr="00DA0F6F">
        <w:rPr>
          <w:sz w:val="20"/>
          <w:szCs w:val="20"/>
        </w:rPr>
        <w:t xml:space="preserve">Les communications devront aborder les dynamiques de peuplement et de circulation des hommes, des idées et des objets, au travers d’analyses sur la construction des identités culturelles et territoriales du Mésolithique à l’âge du Bronze, en étudiant par exemple les processus de néolithisation ou la diffusion de traits culturels. Il s’agira notamment d’identifier les apports et influx méditerranéens, atlantiques et péninsulaires et de les interpréter en termes de déplacements humains, de circulation de biens ou de diffusion culturelle. Les particularismes de l’espace pyrénéen pourront être envisagés par des communications sur le pastoralisme, la question de la transhumance et plus généralement sur les modes de vie propre à l’espace montagnard. La mise en perspective des données des deux versants pyrénéens permettra de comparer la documentation disponible, nos méthodes d’approche et les perspectives de recherche sur la Préhistoire récente franco-ibérique. </w:t>
      </w:r>
    </w:p>
    <w:p w:rsidR="00082C22" w:rsidRPr="00DA0F6F" w:rsidRDefault="00082C22" w:rsidP="00082C22">
      <w:pPr>
        <w:widowControl w:val="0"/>
        <w:autoSpaceDE w:val="0"/>
        <w:autoSpaceDN w:val="0"/>
        <w:adjustRightInd w:val="0"/>
        <w:ind w:firstLine="284"/>
        <w:jc w:val="both"/>
        <w:rPr>
          <w:sz w:val="20"/>
          <w:szCs w:val="20"/>
          <w:lang w:eastAsia="ja-JP"/>
        </w:rPr>
      </w:pPr>
    </w:p>
    <w:p w:rsidR="00082C22" w:rsidRDefault="00082C22" w:rsidP="00082C22">
      <w:pPr>
        <w:widowControl w:val="0"/>
        <w:autoSpaceDE w:val="0"/>
        <w:autoSpaceDN w:val="0"/>
        <w:adjustRightInd w:val="0"/>
        <w:ind w:firstLine="284"/>
        <w:jc w:val="both"/>
        <w:rPr>
          <w:sz w:val="20"/>
          <w:szCs w:val="20"/>
          <w:lang w:eastAsia="ja-JP"/>
        </w:rPr>
      </w:pPr>
      <w:r w:rsidRPr="00DA0F6F">
        <w:rPr>
          <w:sz w:val="20"/>
          <w:szCs w:val="20"/>
          <w:lang w:eastAsia="ja-JP"/>
        </w:rPr>
        <w:t>Comme à l’accoutumée, la session thématique sera suivie d’une session portant sur l’actualité de la Recherche et pour laquelle des contributions sous forme de communications orales ou de posters portant sur la Préhistoire récente (du Mésolithique à l’âge du Bronze) sont attendues.</w:t>
      </w:r>
    </w:p>
    <w:p w:rsidR="00082C22" w:rsidRDefault="00082C22" w:rsidP="00082C22">
      <w:pPr>
        <w:widowControl w:val="0"/>
        <w:autoSpaceDE w:val="0"/>
        <w:autoSpaceDN w:val="0"/>
        <w:adjustRightInd w:val="0"/>
        <w:ind w:firstLine="284"/>
        <w:jc w:val="both"/>
        <w:rPr>
          <w:sz w:val="20"/>
          <w:szCs w:val="20"/>
          <w:lang w:eastAsia="ja-JP"/>
        </w:rPr>
      </w:pPr>
    </w:p>
    <w:p w:rsidR="00082C22" w:rsidRDefault="00082C22" w:rsidP="00082C22">
      <w:pPr>
        <w:widowControl w:val="0"/>
        <w:autoSpaceDE w:val="0"/>
        <w:autoSpaceDN w:val="0"/>
        <w:adjustRightInd w:val="0"/>
        <w:ind w:firstLine="284"/>
        <w:jc w:val="both"/>
        <w:rPr>
          <w:sz w:val="20"/>
          <w:szCs w:val="20"/>
          <w:lang w:eastAsia="ja-JP"/>
        </w:rPr>
      </w:pPr>
    </w:p>
    <w:p w:rsidR="00082C22" w:rsidRDefault="00082C22" w:rsidP="00082C22">
      <w:pPr>
        <w:widowControl w:val="0"/>
        <w:autoSpaceDE w:val="0"/>
        <w:autoSpaceDN w:val="0"/>
        <w:adjustRightInd w:val="0"/>
        <w:ind w:firstLine="284"/>
        <w:jc w:val="both"/>
        <w:rPr>
          <w:sz w:val="20"/>
          <w:szCs w:val="20"/>
          <w:lang w:eastAsia="ja-JP"/>
        </w:rPr>
      </w:pPr>
    </w:p>
    <w:p w:rsidR="00082C22" w:rsidRDefault="00082C22" w:rsidP="00082C22">
      <w:pPr>
        <w:widowControl w:val="0"/>
        <w:autoSpaceDE w:val="0"/>
        <w:autoSpaceDN w:val="0"/>
        <w:adjustRightInd w:val="0"/>
        <w:ind w:firstLine="284"/>
        <w:jc w:val="both"/>
        <w:rPr>
          <w:sz w:val="20"/>
          <w:szCs w:val="20"/>
          <w:lang w:eastAsia="ja-JP"/>
        </w:rPr>
      </w:pPr>
    </w:p>
    <w:p w:rsidR="00082C22" w:rsidRDefault="00082C22" w:rsidP="00082C22">
      <w:pPr>
        <w:widowControl w:val="0"/>
        <w:autoSpaceDE w:val="0"/>
        <w:autoSpaceDN w:val="0"/>
        <w:adjustRightInd w:val="0"/>
        <w:jc w:val="center"/>
        <w:rPr>
          <w:sz w:val="22"/>
          <w:szCs w:val="22"/>
          <w:lang w:eastAsia="ja-JP"/>
        </w:rPr>
      </w:pPr>
      <w:r w:rsidRPr="00840131">
        <w:rPr>
          <w:rFonts w:ascii="Apple Chancery" w:hAnsi="Apple Chancery" w:cs="Apple Chancery"/>
          <w:noProof/>
          <w:color w:val="E36C0A" w:themeColor="accent6" w:themeShade="BF"/>
          <w:sz w:val="20"/>
          <w:szCs w:val="20"/>
        </w:rPr>
        <w:drawing>
          <wp:inline distT="0" distB="0" distL="0" distR="0">
            <wp:extent cx="1232535" cy="326390"/>
            <wp:effectExtent l="0" t="0" r="12065" b="3810"/>
            <wp:docPr id="1"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884" t="18920" r="69104" b="68444"/>
                    <a:stretch/>
                  </pic:blipFill>
                  <pic:spPr>
                    <a:xfrm>
                      <a:off x="0" y="0"/>
                      <a:ext cx="1234821" cy="326995"/>
                    </a:xfrm>
                    <a:prstGeom prst="rect">
                      <a:avLst/>
                    </a:prstGeom>
                  </pic:spPr>
                </pic:pic>
              </a:graphicData>
            </a:graphic>
          </wp:inline>
        </w:drawing>
      </w:r>
    </w:p>
    <w:p w:rsidR="00082C22" w:rsidRPr="00126D3C" w:rsidRDefault="00082C22" w:rsidP="00082C22">
      <w:pPr>
        <w:widowControl w:val="0"/>
        <w:autoSpaceDE w:val="0"/>
        <w:autoSpaceDN w:val="0"/>
        <w:adjustRightInd w:val="0"/>
        <w:rPr>
          <w:sz w:val="22"/>
          <w:szCs w:val="22"/>
          <w:lang w:eastAsia="ja-JP"/>
        </w:rPr>
      </w:pPr>
    </w:p>
    <w:p w:rsidR="00082C22" w:rsidRPr="00755F24" w:rsidRDefault="00082C22" w:rsidP="00082C22">
      <w:pPr>
        <w:widowControl w:val="0"/>
        <w:autoSpaceDE w:val="0"/>
        <w:autoSpaceDN w:val="0"/>
        <w:adjustRightInd w:val="0"/>
        <w:jc w:val="center"/>
        <w:rPr>
          <w:lang w:eastAsia="ja-JP"/>
        </w:rPr>
      </w:pPr>
      <w:r w:rsidRPr="00755F24">
        <w:rPr>
          <w:lang w:eastAsia="ja-JP"/>
        </w:rPr>
        <w:t>XI</w:t>
      </w:r>
      <w:r>
        <w:rPr>
          <w:lang w:eastAsia="ja-JP"/>
        </w:rPr>
        <w:t>I</w:t>
      </w:r>
      <w:r w:rsidRPr="00755F24">
        <w:rPr>
          <w:vertAlign w:val="superscript"/>
          <w:lang w:eastAsia="ja-JP"/>
        </w:rPr>
        <w:t>e</w:t>
      </w:r>
      <w:r>
        <w:rPr>
          <w:lang w:eastAsia="ja-JP"/>
        </w:rPr>
        <w:t xml:space="preserve"> Encuestros Meridionales de la Prehistoria Reciente</w:t>
      </w:r>
    </w:p>
    <w:p w:rsidR="00082C22" w:rsidRPr="00755F24" w:rsidRDefault="00082C22" w:rsidP="00082C22">
      <w:pPr>
        <w:widowControl w:val="0"/>
        <w:autoSpaceDE w:val="0"/>
        <w:autoSpaceDN w:val="0"/>
        <w:adjustRightInd w:val="0"/>
        <w:jc w:val="center"/>
        <w:rPr>
          <w:lang w:eastAsia="ja-JP"/>
        </w:rPr>
      </w:pPr>
      <w:r w:rsidRPr="00755F24">
        <w:rPr>
          <w:lang w:eastAsia="ja-JP"/>
        </w:rPr>
        <w:t>« </w:t>
      </w:r>
      <w:r>
        <w:rPr>
          <w:i/>
          <w:lang w:eastAsia="ja-JP"/>
        </w:rPr>
        <w:t>Entre dos mares</w:t>
      </w:r>
      <w:r w:rsidRPr="00755F24">
        <w:rPr>
          <w:i/>
          <w:lang w:eastAsia="ja-JP"/>
        </w:rPr>
        <w:t> </w:t>
      </w:r>
      <w:r w:rsidRPr="00755F24">
        <w:rPr>
          <w:lang w:eastAsia="ja-JP"/>
        </w:rPr>
        <w:t>»</w:t>
      </w:r>
    </w:p>
    <w:p w:rsidR="00082C22" w:rsidRPr="00755F24" w:rsidRDefault="00082C22" w:rsidP="00082C22">
      <w:pPr>
        <w:widowControl w:val="0"/>
        <w:autoSpaceDE w:val="0"/>
        <w:autoSpaceDN w:val="0"/>
        <w:adjustRightInd w:val="0"/>
        <w:jc w:val="center"/>
        <w:rPr>
          <w:lang w:eastAsia="ja-JP"/>
        </w:rPr>
      </w:pPr>
      <w:r>
        <w:rPr>
          <w:lang w:eastAsia="ja-JP"/>
        </w:rPr>
        <w:t>y</w:t>
      </w:r>
      <w:r w:rsidRPr="00755F24">
        <w:rPr>
          <w:lang w:eastAsia="ja-JP"/>
        </w:rPr>
        <w:t xml:space="preserve"> </w:t>
      </w:r>
    </w:p>
    <w:p w:rsidR="00082C22" w:rsidRPr="00755F24" w:rsidRDefault="00082C22" w:rsidP="00082C22">
      <w:pPr>
        <w:widowControl w:val="0"/>
        <w:autoSpaceDE w:val="0"/>
        <w:autoSpaceDN w:val="0"/>
        <w:adjustRightInd w:val="0"/>
        <w:jc w:val="center"/>
        <w:rPr>
          <w:lang w:eastAsia="ja-JP"/>
        </w:rPr>
      </w:pPr>
      <w:r>
        <w:rPr>
          <w:lang w:eastAsia="ja-JP"/>
        </w:rPr>
        <w:t>Noticias cientificas</w:t>
      </w:r>
    </w:p>
    <w:p w:rsidR="00082C22" w:rsidRPr="00755F24" w:rsidRDefault="00082C22" w:rsidP="00082C22">
      <w:pPr>
        <w:widowControl w:val="0"/>
        <w:autoSpaceDE w:val="0"/>
        <w:autoSpaceDN w:val="0"/>
        <w:adjustRightInd w:val="0"/>
        <w:jc w:val="center"/>
        <w:rPr>
          <w:lang w:eastAsia="ja-JP"/>
        </w:rPr>
      </w:pPr>
    </w:p>
    <w:p w:rsidR="00082C22" w:rsidRPr="00755F24" w:rsidRDefault="00082C22" w:rsidP="00082C22">
      <w:pPr>
        <w:widowControl w:val="0"/>
        <w:autoSpaceDE w:val="0"/>
        <w:autoSpaceDN w:val="0"/>
        <w:adjustRightInd w:val="0"/>
        <w:jc w:val="center"/>
        <w:rPr>
          <w:lang w:eastAsia="ja-JP"/>
        </w:rPr>
      </w:pPr>
      <w:r>
        <w:rPr>
          <w:lang w:eastAsia="ja-JP"/>
        </w:rPr>
        <w:t>Bayonne (Francia)</w:t>
      </w:r>
      <w:r w:rsidRPr="00755F24">
        <w:rPr>
          <w:lang w:eastAsia="ja-JP"/>
        </w:rPr>
        <w:t xml:space="preserve"> –</w:t>
      </w:r>
      <w:r>
        <w:rPr>
          <w:lang w:eastAsia="ja-JP"/>
        </w:rPr>
        <w:t xml:space="preserve"> 29 septiembre hasta 1 octubre 2016</w:t>
      </w:r>
    </w:p>
    <w:p w:rsidR="00082C22" w:rsidRPr="00755F24" w:rsidRDefault="00082C22" w:rsidP="00082C22">
      <w:pPr>
        <w:widowControl w:val="0"/>
        <w:autoSpaceDE w:val="0"/>
        <w:autoSpaceDN w:val="0"/>
        <w:adjustRightInd w:val="0"/>
        <w:jc w:val="center"/>
        <w:rPr>
          <w:lang w:eastAsia="ja-JP"/>
        </w:rPr>
      </w:pPr>
    </w:p>
    <w:p w:rsidR="00082C22" w:rsidRPr="00755F24" w:rsidRDefault="00082C22" w:rsidP="00082C22">
      <w:pPr>
        <w:widowControl w:val="0"/>
        <w:autoSpaceDE w:val="0"/>
        <w:autoSpaceDN w:val="0"/>
        <w:adjustRightInd w:val="0"/>
        <w:jc w:val="center"/>
        <w:rPr>
          <w:lang w:eastAsia="ja-JP"/>
        </w:rPr>
      </w:pPr>
      <w:r>
        <w:rPr>
          <w:lang w:eastAsia="ja-JP"/>
        </w:rPr>
        <w:t>Propuesta</w:t>
      </w:r>
    </w:p>
    <w:p w:rsidR="00082C22" w:rsidRDefault="00082C22" w:rsidP="00082C22">
      <w:pPr>
        <w:widowControl w:val="0"/>
        <w:autoSpaceDE w:val="0"/>
        <w:autoSpaceDN w:val="0"/>
        <w:adjustRightInd w:val="0"/>
        <w:jc w:val="both"/>
        <w:rPr>
          <w:sz w:val="20"/>
          <w:szCs w:val="20"/>
          <w:lang w:eastAsia="ja-JP"/>
        </w:rPr>
      </w:pPr>
    </w:p>
    <w:p w:rsidR="00082C22" w:rsidRPr="00A25FB2" w:rsidRDefault="00082C22" w:rsidP="00082C22">
      <w:pPr>
        <w:ind w:firstLine="284"/>
        <w:contextualSpacing/>
        <w:jc w:val="both"/>
        <w:rPr>
          <w:sz w:val="20"/>
          <w:szCs w:val="20"/>
        </w:rPr>
      </w:pPr>
      <w:r w:rsidRPr="00A25FB2">
        <w:rPr>
          <w:sz w:val="20"/>
          <w:szCs w:val="20"/>
        </w:rPr>
        <w:t xml:space="preserve">Al acoger los próximos encuentros meridionales de Prehistoria reciente en Bayona, en 2016, nuestro deseo es ofrecer una nueva visión del Sudoeste de Francia, región clave para comprender las dinámicas socioeconómicas y territoriales del final de la Prehistoria en la intersección entre el  mundo mediterráneo y el atlántico. En la actualidad, contamos con poca información de una región que ha permanecido al margen de los grandes ejes de investigación y de los planes de ordenación territorial. Es por ello que el Sudoeste de Francia suele estar ausente en las síntesis nacionales. </w:t>
      </w:r>
    </w:p>
    <w:p w:rsidR="00082C22" w:rsidRPr="00A25FB2" w:rsidRDefault="00082C22" w:rsidP="00082C22">
      <w:pPr>
        <w:ind w:firstLine="284"/>
        <w:contextualSpacing/>
        <w:jc w:val="both"/>
        <w:rPr>
          <w:sz w:val="20"/>
          <w:szCs w:val="20"/>
        </w:rPr>
      </w:pPr>
    </w:p>
    <w:p w:rsidR="00082C22" w:rsidRPr="00A25FB2" w:rsidRDefault="00082C22" w:rsidP="00082C22">
      <w:pPr>
        <w:ind w:firstLine="284"/>
        <w:contextualSpacing/>
        <w:jc w:val="both"/>
        <w:rPr>
          <w:sz w:val="20"/>
          <w:szCs w:val="20"/>
        </w:rPr>
      </w:pPr>
      <w:r w:rsidRPr="00A25FB2">
        <w:rPr>
          <w:sz w:val="20"/>
          <w:szCs w:val="20"/>
        </w:rPr>
        <w:t>Varios yacimientos, difíciles de detectar en contextos sedimentarios (Landes) y topográficos (Pirineos), han sido descubiertos y excavados en los últimos veinte aῆos en el marco de intervenciones  arqueológicas de urgencia, como los trabajos realizados previamente a la construcción de la autopista A65, y de interveniones ordinarias (PCR y excavaciones).</w:t>
      </w:r>
      <w:r>
        <w:rPr>
          <w:sz w:val="20"/>
          <w:szCs w:val="20"/>
        </w:rPr>
        <w:t xml:space="preserve"> </w:t>
      </w:r>
      <w:r w:rsidRPr="00A25FB2">
        <w:rPr>
          <w:sz w:val="20"/>
          <w:szCs w:val="20"/>
        </w:rPr>
        <w:t>Organizar por primera vez en el Pirineo occidental esta edición de los RMPR será una gran  oportunidad para presentar, durante una sesión temática titulada « Entre dos mares », los resultados de las últimas investigaciones así como los trabajos de síntesis sobre un espacio que constituye el paso natural entre el Mediterráneo y el Atlántico.</w:t>
      </w:r>
    </w:p>
    <w:p w:rsidR="00082C22" w:rsidRPr="00A25FB2" w:rsidRDefault="00082C22" w:rsidP="00082C22">
      <w:pPr>
        <w:ind w:firstLine="284"/>
        <w:contextualSpacing/>
        <w:jc w:val="both"/>
        <w:rPr>
          <w:sz w:val="20"/>
          <w:szCs w:val="20"/>
        </w:rPr>
      </w:pPr>
    </w:p>
    <w:p w:rsidR="00082C22" w:rsidRPr="00A25FB2" w:rsidRDefault="00082C22" w:rsidP="00082C22">
      <w:pPr>
        <w:ind w:firstLine="284"/>
        <w:contextualSpacing/>
        <w:jc w:val="both"/>
        <w:rPr>
          <w:sz w:val="20"/>
          <w:szCs w:val="20"/>
        </w:rPr>
      </w:pPr>
      <w:r w:rsidRPr="00A25FB2">
        <w:rPr>
          <w:sz w:val="20"/>
          <w:szCs w:val="20"/>
        </w:rPr>
        <w:t>Situado entre  amplios valles, como los de los ríos Ebro y Garona, que favorecen la circulación, y atravesado por las cordilleras de los Pirineos que, por el contrario, dificultan el paso, el Sudoeste francés constituye un espacio privilegiado para estudiar, desde una perspectiva diacrónica, las sociedades del final de la</w:t>
      </w:r>
      <w:r>
        <w:rPr>
          <w:sz w:val="20"/>
          <w:szCs w:val="20"/>
        </w:rPr>
        <w:t xml:space="preserve"> Prehistoria. </w:t>
      </w:r>
      <w:r w:rsidRPr="00A25FB2">
        <w:rPr>
          <w:sz w:val="20"/>
          <w:szCs w:val="20"/>
        </w:rPr>
        <w:t>A lo largo de esta sesión temática queremos abordar las relaciones entre los mundos atlántico y mediterráneo y entre los espacios peninsular y continental de las dos laderas del Pirineo. Para ello, abordaremos el análisis de las estructuras de hábitat , de los modos de ocupación, de las prácticas funerarias, de los artefactos y « ecofactos »  o, incluso,  en el marco de reflexiónes más generales, de los modelos de implantación humana.</w:t>
      </w:r>
    </w:p>
    <w:p w:rsidR="00082C22" w:rsidRPr="00A25FB2" w:rsidRDefault="00082C22" w:rsidP="00082C22">
      <w:pPr>
        <w:ind w:firstLine="284"/>
        <w:contextualSpacing/>
        <w:jc w:val="both"/>
        <w:rPr>
          <w:sz w:val="20"/>
          <w:szCs w:val="20"/>
        </w:rPr>
      </w:pPr>
    </w:p>
    <w:p w:rsidR="00082C22" w:rsidRDefault="00082C22" w:rsidP="00082C22">
      <w:pPr>
        <w:ind w:firstLine="284"/>
        <w:contextualSpacing/>
        <w:jc w:val="both"/>
        <w:rPr>
          <w:sz w:val="20"/>
          <w:szCs w:val="20"/>
        </w:rPr>
      </w:pPr>
      <w:r w:rsidRPr="00A25FB2">
        <w:rPr>
          <w:sz w:val="20"/>
          <w:szCs w:val="20"/>
        </w:rPr>
        <w:t xml:space="preserve">Dentro de estos grandes temas, nuestro interés se centrará en los trabajos de síntesis, incluyendo aquellos que abordan el estudio de las regiones limítrofes con el Sudoeste francés, permitiendo así potenciar el intercambio de información y experiencias con nuestros colegas españoles. </w:t>
      </w:r>
    </w:p>
    <w:p w:rsidR="00082C22" w:rsidRPr="00A25FB2" w:rsidRDefault="00082C22" w:rsidP="00082C22">
      <w:pPr>
        <w:ind w:firstLine="284"/>
        <w:contextualSpacing/>
        <w:jc w:val="both"/>
        <w:rPr>
          <w:sz w:val="20"/>
          <w:szCs w:val="20"/>
        </w:rPr>
      </w:pPr>
    </w:p>
    <w:p w:rsidR="00082C22" w:rsidRPr="00A25FB2" w:rsidRDefault="00082C22" w:rsidP="00082C22">
      <w:pPr>
        <w:ind w:firstLine="284"/>
        <w:contextualSpacing/>
        <w:jc w:val="both"/>
        <w:rPr>
          <w:sz w:val="20"/>
          <w:szCs w:val="20"/>
        </w:rPr>
      </w:pPr>
      <w:r w:rsidRPr="00A25FB2">
        <w:rPr>
          <w:sz w:val="20"/>
          <w:szCs w:val="20"/>
        </w:rPr>
        <w:t>Las comunicaciones presentadas deben tratar el análisis de las  dinámicas de población y de circulación de personas, ideas y objetos, mediante una reflexión en torno a la construcción de las identidades culturales y territoriales, desde el Mesolítico a la Edad de Bronce,  estudiando, por ejemplo, los procesos de « neolitización » o la difusión de los rasgos culturales. El objetivo es, en definitiva,   identificar las aportaciones e influencias mediterráneas, atlánticas y peninsulares, y de interpretarlas en relación a los desplazamientos humanos, a la circulación de bienes o a la difusión cultural.</w:t>
      </w:r>
    </w:p>
    <w:p w:rsidR="00082C22" w:rsidRPr="00A25FB2" w:rsidRDefault="00082C22" w:rsidP="00082C22">
      <w:pPr>
        <w:ind w:firstLine="284"/>
        <w:contextualSpacing/>
        <w:jc w:val="both"/>
        <w:rPr>
          <w:sz w:val="20"/>
          <w:szCs w:val="20"/>
        </w:rPr>
      </w:pPr>
    </w:p>
    <w:p w:rsidR="00082C22" w:rsidRPr="00A25FB2" w:rsidRDefault="00082C22" w:rsidP="00082C22">
      <w:pPr>
        <w:ind w:firstLine="284"/>
        <w:contextualSpacing/>
        <w:jc w:val="both"/>
        <w:rPr>
          <w:sz w:val="20"/>
          <w:szCs w:val="20"/>
        </w:rPr>
      </w:pPr>
      <w:r w:rsidRPr="00A25FB2">
        <w:rPr>
          <w:sz w:val="20"/>
          <w:szCs w:val="20"/>
        </w:rPr>
        <w:t>Por último, las particularidades de la zona pirenaica pueden ser abordadas en comunicaciones que versen sobre el pastoreo, la trashumancia o, en términos más generales, sobre los modos de vida propios de las áreas de montaña. La idea de poner en común los datos que proporcionan las dos vertientes del Pirineo nos permitirá comparar la documentación disponible, nuestras metodologías y las perspectivas de investigación sobre la Prehistoria reciente franco-ibérica.</w:t>
      </w:r>
    </w:p>
    <w:p w:rsidR="00082C22" w:rsidRPr="00DA0F6F" w:rsidRDefault="00082C22" w:rsidP="00082C22">
      <w:pPr>
        <w:widowControl w:val="0"/>
        <w:autoSpaceDE w:val="0"/>
        <w:autoSpaceDN w:val="0"/>
        <w:adjustRightInd w:val="0"/>
        <w:ind w:firstLine="284"/>
        <w:jc w:val="both"/>
        <w:rPr>
          <w:sz w:val="20"/>
          <w:szCs w:val="20"/>
          <w:lang w:eastAsia="ja-JP"/>
        </w:rPr>
      </w:pPr>
    </w:p>
    <w:p w:rsidR="00082C22" w:rsidRPr="00755F24" w:rsidRDefault="00082C22" w:rsidP="00082C22">
      <w:pPr>
        <w:widowControl w:val="0"/>
        <w:autoSpaceDE w:val="0"/>
        <w:autoSpaceDN w:val="0"/>
        <w:adjustRightInd w:val="0"/>
        <w:jc w:val="both"/>
        <w:rPr>
          <w:sz w:val="20"/>
          <w:szCs w:val="20"/>
          <w:lang w:eastAsia="ja-JP"/>
        </w:rPr>
      </w:pPr>
    </w:p>
    <w:p w:rsidR="00082C22" w:rsidRDefault="00082C22" w:rsidP="00082C22">
      <w:pPr>
        <w:widowControl w:val="0"/>
        <w:autoSpaceDE w:val="0"/>
        <w:autoSpaceDN w:val="0"/>
        <w:adjustRightInd w:val="0"/>
        <w:rPr>
          <w:sz w:val="32"/>
          <w:szCs w:val="32"/>
          <w:lang w:eastAsia="ja-JP"/>
        </w:rPr>
      </w:pPr>
    </w:p>
    <w:p w:rsidR="00082C22" w:rsidRDefault="00082C22" w:rsidP="00082C22">
      <w:pPr>
        <w:widowControl w:val="0"/>
        <w:autoSpaceDE w:val="0"/>
        <w:autoSpaceDN w:val="0"/>
        <w:adjustRightInd w:val="0"/>
        <w:rPr>
          <w:sz w:val="32"/>
          <w:szCs w:val="32"/>
          <w:lang w:eastAsia="ja-JP"/>
        </w:rPr>
      </w:pPr>
    </w:p>
    <w:p w:rsidR="00082C22" w:rsidRDefault="00082C22" w:rsidP="00082C22">
      <w:pPr>
        <w:widowControl w:val="0"/>
        <w:autoSpaceDE w:val="0"/>
        <w:autoSpaceDN w:val="0"/>
        <w:adjustRightInd w:val="0"/>
        <w:ind w:firstLine="284"/>
        <w:jc w:val="center"/>
        <w:rPr>
          <w:sz w:val="32"/>
          <w:szCs w:val="32"/>
          <w:lang w:eastAsia="ja-JP"/>
        </w:rPr>
      </w:pPr>
      <w:r w:rsidRPr="00840131">
        <w:rPr>
          <w:rFonts w:ascii="Apple Chancery" w:hAnsi="Apple Chancery" w:cs="Apple Chancery"/>
          <w:noProof/>
          <w:color w:val="E36C0A" w:themeColor="accent6" w:themeShade="BF"/>
          <w:sz w:val="20"/>
          <w:szCs w:val="20"/>
        </w:rPr>
        <w:drawing>
          <wp:inline distT="0" distB="0" distL="0" distR="0">
            <wp:extent cx="1219412" cy="304093"/>
            <wp:effectExtent l="0" t="0" r="0" b="1270"/>
            <wp:docPr id="16"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884" t="18920" r="69104" b="68444"/>
                    <a:stretch/>
                  </pic:blipFill>
                  <pic:spPr>
                    <a:xfrm>
                      <a:off x="0" y="0"/>
                      <a:ext cx="1232364" cy="307323"/>
                    </a:xfrm>
                    <a:prstGeom prst="rect">
                      <a:avLst/>
                    </a:prstGeom>
                  </pic:spPr>
                </pic:pic>
              </a:graphicData>
            </a:graphic>
          </wp:inline>
        </w:drawing>
      </w:r>
    </w:p>
    <w:p w:rsidR="00082C22" w:rsidRPr="00980783" w:rsidRDefault="00082C22" w:rsidP="00082C22">
      <w:pPr>
        <w:widowControl w:val="0"/>
        <w:autoSpaceDE w:val="0"/>
        <w:autoSpaceDN w:val="0"/>
        <w:adjustRightInd w:val="0"/>
        <w:jc w:val="both"/>
        <w:rPr>
          <w:sz w:val="32"/>
          <w:szCs w:val="32"/>
          <w:lang w:eastAsia="ja-JP"/>
        </w:rPr>
      </w:pPr>
    </w:p>
    <w:p w:rsidR="00082C22" w:rsidRPr="00755F24" w:rsidRDefault="00082C22" w:rsidP="00082C22">
      <w:pPr>
        <w:widowControl w:val="0"/>
        <w:autoSpaceDE w:val="0"/>
        <w:autoSpaceDN w:val="0"/>
        <w:adjustRightInd w:val="0"/>
        <w:jc w:val="center"/>
        <w:rPr>
          <w:lang w:eastAsia="ja-JP"/>
        </w:rPr>
      </w:pPr>
      <w:r w:rsidRPr="00755F24">
        <w:rPr>
          <w:lang w:eastAsia="ja-JP"/>
        </w:rPr>
        <w:t>XI</w:t>
      </w:r>
      <w:r>
        <w:rPr>
          <w:lang w:eastAsia="ja-JP"/>
        </w:rPr>
        <w:t>I</w:t>
      </w:r>
      <w:r w:rsidRPr="00755F24">
        <w:rPr>
          <w:vertAlign w:val="superscript"/>
          <w:lang w:eastAsia="ja-JP"/>
        </w:rPr>
        <w:t>e</w:t>
      </w:r>
      <w:r w:rsidRPr="00755F24">
        <w:rPr>
          <w:lang w:eastAsia="ja-JP"/>
        </w:rPr>
        <w:t xml:space="preserve"> Rencontres Méridionales de Préhistoire Récente</w:t>
      </w:r>
    </w:p>
    <w:p w:rsidR="00082C22" w:rsidRPr="00755F24" w:rsidRDefault="00082C22" w:rsidP="00082C22">
      <w:pPr>
        <w:widowControl w:val="0"/>
        <w:autoSpaceDE w:val="0"/>
        <w:autoSpaceDN w:val="0"/>
        <w:adjustRightInd w:val="0"/>
        <w:jc w:val="center"/>
        <w:rPr>
          <w:lang w:eastAsia="ja-JP"/>
        </w:rPr>
      </w:pPr>
      <w:r w:rsidRPr="00755F24">
        <w:rPr>
          <w:lang w:eastAsia="ja-JP"/>
        </w:rPr>
        <w:t>« </w:t>
      </w:r>
      <w:r>
        <w:rPr>
          <w:i/>
          <w:lang w:eastAsia="ja-JP"/>
        </w:rPr>
        <w:t>Entre deux mers</w:t>
      </w:r>
      <w:r w:rsidRPr="00755F24">
        <w:rPr>
          <w:i/>
          <w:lang w:eastAsia="ja-JP"/>
        </w:rPr>
        <w:t> </w:t>
      </w:r>
      <w:r w:rsidRPr="00755F24">
        <w:rPr>
          <w:lang w:eastAsia="ja-JP"/>
        </w:rPr>
        <w:t>»</w:t>
      </w:r>
    </w:p>
    <w:p w:rsidR="00082C22" w:rsidRPr="00755F24" w:rsidRDefault="00082C22" w:rsidP="00082C22">
      <w:pPr>
        <w:widowControl w:val="0"/>
        <w:autoSpaceDE w:val="0"/>
        <w:autoSpaceDN w:val="0"/>
        <w:adjustRightInd w:val="0"/>
        <w:jc w:val="center"/>
        <w:rPr>
          <w:lang w:eastAsia="ja-JP"/>
        </w:rPr>
      </w:pPr>
      <w:r w:rsidRPr="00755F24">
        <w:rPr>
          <w:lang w:eastAsia="ja-JP"/>
        </w:rPr>
        <w:t xml:space="preserve">et </w:t>
      </w:r>
    </w:p>
    <w:p w:rsidR="00082C22" w:rsidRPr="00755F24" w:rsidRDefault="00082C22" w:rsidP="00082C22">
      <w:pPr>
        <w:widowControl w:val="0"/>
        <w:autoSpaceDE w:val="0"/>
        <w:autoSpaceDN w:val="0"/>
        <w:adjustRightInd w:val="0"/>
        <w:jc w:val="center"/>
        <w:rPr>
          <w:lang w:eastAsia="ja-JP"/>
        </w:rPr>
      </w:pPr>
      <w:r w:rsidRPr="00755F24">
        <w:rPr>
          <w:lang w:eastAsia="ja-JP"/>
        </w:rPr>
        <w:t>Actualité de la Recherche</w:t>
      </w:r>
    </w:p>
    <w:p w:rsidR="00082C22" w:rsidRPr="00755F24" w:rsidRDefault="00082C22" w:rsidP="00082C22">
      <w:pPr>
        <w:widowControl w:val="0"/>
        <w:autoSpaceDE w:val="0"/>
        <w:autoSpaceDN w:val="0"/>
        <w:adjustRightInd w:val="0"/>
        <w:jc w:val="center"/>
        <w:rPr>
          <w:lang w:eastAsia="ja-JP"/>
        </w:rPr>
      </w:pPr>
    </w:p>
    <w:p w:rsidR="00082C22" w:rsidRPr="00755F24" w:rsidRDefault="00082C22" w:rsidP="00082C22">
      <w:pPr>
        <w:widowControl w:val="0"/>
        <w:autoSpaceDE w:val="0"/>
        <w:autoSpaceDN w:val="0"/>
        <w:adjustRightInd w:val="0"/>
        <w:jc w:val="center"/>
        <w:rPr>
          <w:lang w:eastAsia="ja-JP"/>
        </w:rPr>
      </w:pPr>
      <w:r>
        <w:rPr>
          <w:lang w:eastAsia="ja-JP"/>
        </w:rPr>
        <w:t>Bayonne</w:t>
      </w:r>
      <w:r w:rsidRPr="00755F24">
        <w:rPr>
          <w:lang w:eastAsia="ja-JP"/>
        </w:rPr>
        <w:t xml:space="preserve"> –</w:t>
      </w:r>
      <w:r>
        <w:rPr>
          <w:lang w:eastAsia="ja-JP"/>
        </w:rPr>
        <w:t xml:space="preserve"> 29 septembre au 1</w:t>
      </w:r>
      <w:r w:rsidRPr="00DA0F6F">
        <w:rPr>
          <w:vertAlign w:val="superscript"/>
          <w:lang w:eastAsia="ja-JP"/>
        </w:rPr>
        <w:t>er</w:t>
      </w:r>
      <w:r>
        <w:rPr>
          <w:lang w:eastAsia="ja-JP"/>
        </w:rPr>
        <w:t xml:space="preserve"> octobre 2016</w:t>
      </w:r>
    </w:p>
    <w:p w:rsidR="00082C22" w:rsidRPr="00755F24" w:rsidRDefault="00082C22" w:rsidP="00082C22">
      <w:pPr>
        <w:widowControl w:val="0"/>
        <w:autoSpaceDE w:val="0"/>
        <w:autoSpaceDN w:val="0"/>
        <w:adjustRightInd w:val="0"/>
        <w:jc w:val="center"/>
        <w:rPr>
          <w:lang w:eastAsia="ja-JP"/>
        </w:rPr>
      </w:pPr>
    </w:p>
    <w:p w:rsidR="00082C22" w:rsidRPr="00126D3C" w:rsidRDefault="00082C22" w:rsidP="00082C22">
      <w:pPr>
        <w:widowControl w:val="0"/>
        <w:autoSpaceDE w:val="0"/>
        <w:autoSpaceDN w:val="0"/>
        <w:adjustRightInd w:val="0"/>
        <w:jc w:val="center"/>
        <w:rPr>
          <w:sz w:val="22"/>
          <w:szCs w:val="22"/>
          <w:lang w:eastAsia="ja-JP"/>
        </w:rPr>
      </w:pPr>
    </w:p>
    <w:p w:rsidR="00082C22" w:rsidRPr="00755F24" w:rsidRDefault="00082C22" w:rsidP="00082C22">
      <w:pPr>
        <w:widowControl w:val="0"/>
        <w:autoSpaceDE w:val="0"/>
        <w:autoSpaceDN w:val="0"/>
        <w:adjustRightInd w:val="0"/>
        <w:jc w:val="center"/>
        <w:rPr>
          <w:lang w:eastAsia="ja-JP"/>
        </w:rPr>
      </w:pPr>
      <w:r w:rsidRPr="00755F24">
        <w:rPr>
          <w:lang w:eastAsia="ja-JP"/>
        </w:rPr>
        <w:t>Comité de pilotage</w:t>
      </w:r>
    </w:p>
    <w:p w:rsidR="00082C22" w:rsidRPr="00980783" w:rsidRDefault="00082C22" w:rsidP="00082C22">
      <w:pPr>
        <w:widowControl w:val="0"/>
        <w:autoSpaceDE w:val="0"/>
        <w:autoSpaceDN w:val="0"/>
        <w:adjustRightInd w:val="0"/>
        <w:jc w:val="center"/>
        <w:rPr>
          <w:sz w:val="16"/>
          <w:szCs w:val="16"/>
          <w:lang w:eastAsia="ja-JP"/>
        </w:rPr>
      </w:pPr>
      <w:r w:rsidRPr="00980783">
        <w:rPr>
          <w:sz w:val="16"/>
          <w:szCs w:val="16"/>
          <w:lang w:eastAsia="ja-JP"/>
        </w:rPr>
        <w:t>Association « Rencontres Méridionales de Préhistoire Récente »</w:t>
      </w:r>
    </w:p>
    <w:p w:rsidR="00082C22" w:rsidRPr="00980783" w:rsidRDefault="00082C22" w:rsidP="00082C22">
      <w:pPr>
        <w:widowControl w:val="0"/>
        <w:autoSpaceDE w:val="0"/>
        <w:autoSpaceDN w:val="0"/>
        <w:adjustRightInd w:val="0"/>
        <w:jc w:val="center"/>
        <w:rPr>
          <w:sz w:val="16"/>
          <w:szCs w:val="16"/>
          <w:lang w:eastAsia="ja-JP"/>
        </w:rPr>
      </w:pPr>
      <w:r w:rsidRPr="004F2B0A">
        <w:rPr>
          <w:sz w:val="16"/>
          <w:szCs w:val="16"/>
          <w:lang w:eastAsia="ja-JP"/>
        </w:rPr>
        <w:t>Ingrid Sénépart (Présidente, SMPH-MRS ; CÉPAM - CNRS UMR 7264), Jessie Cauliez (Secrétaire, CNRS-TRACES –CNRS UMR 5608), Anne Hasler (Trésorière, Inrap, LAMPÉA - CNRS UMR 7269), Christophe Gilabert (MCC-DRAC-SRA Languedoc-Roussillon, LAMPÉA - CNRS UMR 7269)</w:t>
      </w:r>
      <w:r>
        <w:rPr>
          <w:sz w:val="16"/>
          <w:szCs w:val="16"/>
          <w:lang w:eastAsia="ja-JP"/>
        </w:rPr>
        <w:t>,</w:t>
      </w:r>
      <w:r w:rsidRPr="004F2B0A">
        <w:rPr>
          <w:sz w:val="16"/>
          <w:szCs w:val="16"/>
          <w:lang w:eastAsia="ja-JP"/>
        </w:rPr>
        <w:t xml:space="preserve"> Vincent Ard (CNRS -TRACES –CNRS UMR 5608), Éric Thirault (PaléoTime SaRL, TRACES –CNRS UMR 5608</w:t>
      </w:r>
      <w:r>
        <w:rPr>
          <w:sz w:val="16"/>
          <w:szCs w:val="16"/>
          <w:lang w:eastAsia="ja-JP"/>
        </w:rPr>
        <w:t>)</w:t>
      </w:r>
    </w:p>
    <w:p w:rsidR="00082C22" w:rsidRPr="00980783" w:rsidRDefault="00082C22" w:rsidP="00082C22">
      <w:pPr>
        <w:widowControl w:val="0"/>
        <w:autoSpaceDE w:val="0"/>
        <w:autoSpaceDN w:val="0"/>
        <w:adjustRightInd w:val="0"/>
        <w:rPr>
          <w:sz w:val="16"/>
          <w:szCs w:val="16"/>
          <w:lang w:eastAsia="ja-JP"/>
        </w:rPr>
      </w:pPr>
    </w:p>
    <w:p w:rsidR="00082C22" w:rsidRPr="00980783" w:rsidRDefault="00082C22" w:rsidP="00082C22">
      <w:pPr>
        <w:widowControl w:val="0"/>
        <w:autoSpaceDE w:val="0"/>
        <w:autoSpaceDN w:val="0"/>
        <w:adjustRightInd w:val="0"/>
        <w:rPr>
          <w:sz w:val="16"/>
          <w:szCs w:val="16"/>
          <w:lang w:eastAsia="ja-JP"/>
        </w:rPr>
      </w:pPr>
    </w:p>
    <w:p w:rsidR="00082C22" w:rsidRPr="00755F24" w:rsidRDefault="00082C22" w:rsidP="00082C22">
      <w:pPr>
        <w:widowControl w:val="0"/>
        <w:autoSpaceDE w:val="0"/>
        <w:autoSpaceDN w:val="0"/>
        <w:adjustRightInd w:val="0"/>
        <w:jc w:val="center"/>
        <w:rPr>
          <w:lang w:eastAsia="ja-JP"/>
        </w:rPr>
      </w:pPr>
      <w:r w:rsidRPr="00755F24">
        <w:rPr>
          <w:lang w:eastAsia="ja-JP"/>
        </w:rPr>
        <w:t xml:space="preserve">Comité d’organisation </w:t>
      </w:r>
    </w:p>
    <w:p w:rsidR="00082C22" w:rsidRDefault="00082C22" w:rsidP="00082C22">
      <w:pPr>
        <w:widowControl w:val="0"/>
        <w:autoSpaceDE w:val="0"/>
        <w:autoSpaceDN w:val="0"/>
        <w:adjustRightInd w:val="0"/>
        <w:jc w:val="center"/>
        <w:rPr>
          <w:sz w:val="16"/>
          <w:szCs w:val="16"/>
          <w:lang w:eastAsia="ja-JP"/>
        </w:rPr>
      </w:pPr>
      <w:r>
        <w:rPr>
          <w:sz w:val="16"/>
          <w:szCs w:val="16"/>
          <w:lang w:eastAsia="ja-JP"/>
        </w:rPr>
        <w:t>Vincent Ard</w:t>
      </w:r>
      <w:r w:rsidRPr="00980783">
        <w:rPr>
          <w:sz w:val="16"/>
          <w:szCs w:val="16"/>
          <w:lang w:eastAsia="ja-JP"/>
        </w:rPr>
        <w:t xml:space="preserve"> (RMPR, TRACES, CNRS-UMR</w:t>
      </w:r>
      <w:r>
        <w:rPr>
          <w:sz w:val="16"/>
          <w:szCs w:val="16"/>
          <w:lang w:eastAsia="ja-JP"/>
        </w:rPr>
        <w:t xml:space="preserve"> 5608</w:t>
      </w:r>
      <w:r w:rsidRPr="00980783">
        <w:rPr>
          <w:sz w:val="16"/>
          <w:szCs w:val="16"/>
          <w:lang w:eastAsia="ja-JP"/>
        </w:rPr>
        <w:t xml:space="preserve">), </w:t>
      </w:r>
      <w:r>
        <w:rPr>
          <w:sz w:val="16"/>
          <w:szCs w:val="16"/>
          <w:lang w:eastAsia="ja-JP"/>
        </w:rPr>
        <w:t>Pablo Marticorena</w:t>
      </w:r>
      <w:r w:rsidRPr="00980783">
        <w:rPr>
          <w:sz w:val="16"/>
          <w:szCs w:val="16"/>
          <w:lang w:eastAsia="ja-JP"/>
        </w:rPr>
        <w:t xml:space="preserve"> (</w:t>
      </w:r>
      <w:r>
        <w:rPr>
          <w:sz w:val="16"/>
          <w:szCs w:val="16"/>
          <w:lang w:eastAsia="ja-JP"/>
        </w:rPr>
        <w:t>UPPB</w:t>
      </w:r>
      <w:r w:rsidRPr="00980783">
        <w:rPr>
          <w:sz w:val="16"/>
          <w:szCs w:val="16"/>
          <w:lang w:eastAsia="ja-JP"/>
        </w:rPr>
        <w:t>, TRACES, CNRS-UMR</w:t>
      </w:r>
      <w:r>
        <w:rPr>
          <w:sz w:val="16"/>
          <w:szCs w:val="16"/>
          <w:lang w:eastAsia="ja-JP"/>
        </w:rPr>
        <w:t xml:space="preserve"> 5608</w:t>
      </w:r>
      <w:r w:rsidRPr="00980783">
        <w:rPr>
          <w:sz w:val="16"/>
          <w:szCs w:val="16"/>
          <w:lang w:eastAsia="ja-JP"/>
        </w:rPr>
        <w:t xml:space="preserve">), </w:t>
      </w:r>
    </w:p>
    <w:p w:rsidR="00082C22" w:rsidRPr="00980783" w:rsidRDefault="00082C22" w:rsidP="00082C22">
      <w:pPr>
        <w:widowControl w:val="0"/>
        <w:autoSpaceDE w:val="0"/>
        <w:autoSpaceDN w:val="0"/>
        <w:adjustRightInd w:val="0"/>
        <w:jc w:val="center"/>
        <w:rPr>
          <w:sz w:val="16"/>
          <w:szCs w:val="16"/>
          <w:lang w:eastAsia="ja-JP"/>
        </w:rPr>
      </w:pPr>
      <w:r>
        <w:rPr>
          <w:sz w:val="16"/>
          <w:szCs w:val="16"/>
          <w:lang w:eastAsia="ja-JP"/>
        </w:rPr>
        <w:t xml:space="preserve">Fabrice Marembert </w:t>
      </w:r>
      <w:r w:rsidRPr="00980783">
        <w:rPr>
          <w:sz w:val="16"/>
          <w:szCs w:val="16"/>
          <w:lang w:eastAsia="ja-JP"/>
        </w:rPr>
        <w:t>(</w:t>
      </w:r>
      <w:r>
        <w:rPr>
          <w:sz w:val="16"/>
          <w:szCs w:val="16"/>
          <w:lang w:eastAsia="ja-JP"/>
        </w:rPr>
        <w:t>Inrap</w:t>
      </w:r>
      <w:r w:rsidRPr="00980783">
        <w:rPr>
          <w:sz w:val="16"/>
          <w:szCs w:val="16"/>
          <w:lang w:eastAsia="ja-JP"/>
        </w:rPr>
        <w:t>, TRACES, CNRS-UMR</w:t>
      </w:r>
      <w:r>
        <w:rPr>
          <w:sz w:val="16"/>
          <w:szCs w:val="16"/>
          <w:lang w:eastAsia="ja-JP"/>
        </w:rPr>
        <w:t xml:space="preserve"> 5608</w:t>
      </w:r>
      <w:r w:rsidRPr="00980783">
        <w:rPr>
          <w:sz w:val="16"/>
          <w:szCs w:val="16"/>
          <w:lang w:eastAsia="ja-JP"/>
        </w:rPr>
        <w:t>),</w:t>
      </w:r>
      <w:r>
        <w:rPr>
          <w:sz w:val="16"/>
          <w:szCs w:val="16"/>
          <w:lang w:eastAsia="ja-JP"/>
        </w:rPr>
        <w:t xml:space="preserve"> </w:t>
      </w:r>
      <w:r w:rsidRPr="00980783">
        <w:rPr>
          <w:sz w:val="16"/>
          <w:szCs w:val="16"/>
          <w:lang w:eastAsia="ja-JP"/>
        </w:rPr>
        <w:t>Ingrid Sénépart (RMPR, CEPAM-CNRS UMR 7264)</w:t>
      </w:r>
    </w:p>
    <w:p w:rsidR="00082C22" w:rsidRPr="00980783" w:rsidRDefault="00082C22" w:rsidP="00082C22">
      <w:pPr>
        <w:widowControl w:val="0"/>
        <w:autoSpaceDE w:val="0"/>
        <w:autoSpaceDN w:val="0"/>
        <w:adjustRightInd w:val="0"/>
        <w:jc w:val="center"/>
        <w:rPr>
          <w:sz w:val="16"/>
          <w:szCs w:val="16"/>
          <w:lang w:eastAsia="ja-JP"/>
        </w:rPr>
      </w:pPr>
    </w:p>
    <w:p w:rsidR="00082C22" w:rsidRDefault="00082C22" w:rsidP="00082C22">
      <w:pPr>
        <w:widowControl w:val="0"/>
        <w:autoSpaceDE w:val="0"/>
        <w:autoSpaceDN w:val="0"/>
        <w:adjustRightInd w:val="0"/>
        <w:jc w:val="center"/>
        <w:rPr>
          <w:sz w:val="16"/>
          <w:szCs w:val="16"/>
          <w:lang w:eastAsia="ja-JP"/>
        </w:rPr>
      </w:pPr>
      <w:r w:rsidRPr="00980783">
        <w:rPr>
          <w:sz w:val="16"/>
          <w:szCs w:val="16"/>
          <w:lang w:eastAsia="ja-JP"/>
        </w:rPr>
        <w:t xml:space="preserve">avec le concours du Service Régional de l’Archéologie DRAC </w:t>
      </w:r>
      <w:r>
        <w:rPr>
          <w:sz w:val="16"/>
          <w:szCs w:val="16"/>
          <w:lang w:eastAsia="ja-JP"/>
        </w:rPr>
        <w:t>Aquitaine</w:t>
      </w:r>
      <w:r w:rsidRPr="00980783">
        <w:rPr>
          <w:sz w:val="16"/>
          <w:szCs w:val="16"/>
          <w:lang w:eastAsia="ja-JP"/>
        </w:rPr>
        <w:t xml:space="preserve">, </w:t>
      </w:r>
      <w:r>
        <w:rPr>
          <w:sz w:val="16"/>
          <w:szCs w:val="16"/>
          <w:lang w:eastAsia="ja-JP"/>
        </w:rPr>
        <w:t>de l’Inrap</w:t>
      </w:r>
      <w:r w:rsidRPr="00980783">
        <w:rPr>
          <w:sz w:val="16"/>
          <w:szCs w:val="16"/>
          <w:lang w:eastAsia="ja-JP"/>
        </w:rPr>
        <w:t xml:space="preserve">, </w:t>
      </w:r>
    </w:p>
    <w:p w:rsidR="00082C22" w:rsidRPr="00980783" w:rsidRDefault="00082C22" w:rsidP="00082C22">
      <w:pPr>
        <w:widowControl w:val="0"/>
        <w:autoSpaceDE w:val="0"/>
        <w:autoSpaceDN w:val="0"/>
        <w:adjustRightInd w:val="0"/>
        <w:jc w:val="center"/>
        <w:rPr>
          <w:sz w:val="16"/>
          <w:szCs w:val="16"/>
          <w:lang w:eastAsia="ja-JP"/>
        </w:rPr>
      </w:pPr>
      <w:r w:rsidRPr="00980783">
        <w:rPr>
          <w:sz w:val="16"/>
          <w:szCs w:val="16"/>
          <w:lang w:eastAsia="ja-JP"/>
        </w:rPr>
        <w:t xml:space="preserve">de </w:t>
      </w:r>
      <w:r>
        <w:rPr>
          <w:sz w:val="16"/>
          <w:szCs w:val="16"/>
          <w:lang w:eastAsia="ja-JP"/>
        </w:rPr>
        <w:t>l’université populaire du Pays Basque et de la ville de Bayonne</w:t>
      </w:r>
    </w:p>
    <w:p w:rsidR="00082C22" w:rsidRDefault="00082C22" w:rsidP="00082C22">
      <w:pPr>
        <w:widowControl w:val="0"/>
        <w:autoSpaceDE w:val="0"/>
        <w:autoSpaceDN w:val="0"/>
        <w:adjustRightInd w:val="0"/>
        <w:jc w:val="center"/>
        <w:rPr>
          <w:sz w:val="22"/>
          <w:szCs w:val="22"/>
          <w:lang w:eastAsia="ja-JP"/>
        </w:rPr>
      </w:pPr>
    </w:p>
    <w:p w:rsidR="00082C22" w:rsidRPr="00755F24" w:rsidRDefault="00082C22" w:rsidP="00082C22">
      <w:pPr>
        <w:widowControl w:val="0"/>
        <w:autoSpaceDE w:val="0"/>
        <w:autoSpaceDN w:val="0"/>
        <w:adjustRightInd w:val="0"/>
        <w:jc w:val="center"/>
        <w:rPr>
          <w:lang w:eastAsia="ja-JP"/>
        </w:rPr>
      </w:pPr>
      <w:r w:rsidRPr="00755F24">
        <w:rPr>
          <w:lang w:eastAsia="ja-JP"/>
        </w:rPr>
        <w:t xml:space="preserve">Lieux </w:t>
      </w:r>
    </w:p>
    <w:p w:rsidR="00082C22" w:rsidRPr="00DA0F6F" w:rsidRDefault="00082C22" w:rsidP="00082C22">
      <w:pPr>
        <w:widowControl w:val="0"/>
        <w:autoSpaceDE w:val="0"/>
        <w:autoSpaceDN w:val="0"/>
        <w:adjustRightInd w:val="0"/>
        <w:jc w:val="center"/>
        <w:rPr>
          <w:sz w:val="20"/>
          <w:szCs w:val="20"/>
          <w:lang w:eastAsia="ja-JP"/>
        </w:rPr>
      </w:pPr>
      <w:r w:rsidRPr="00DA0F6F">
        <w:rPr>
          <w:sz w:val="20"/>
          <w:szCs w:val="20"/>
          <w:lang w:eastAsia="ja-JP"/>
        </w:rPr>
        <w:t>Maison des Associations</w:t>
      </w:r>
    </w:p>
    <w:p w:rsidR="00082C22" w:rsidRPr="00DA0F6F" w:rsidRDefault="00082C22" w:rsidP="00082C22">
      <w:pPr>
        <w:widowControl w:val="0"/>
        <w:autoSpaceDE w:val="0"/>
        <w:autoSpaceDN w:val="0"/>
        <w:adjustRightInd w:val="0"/>
        <w:jc w:val="center"/>
        <w:rPr>
          <w:sz w:val="20"/>
          <w:szCs w:val="20"/>
          <w:lang w:eastAsia="ja-JP"/>
        </w:rPr>
      </w:pPr>
      <w:r w:rsidRPr="00DA0F6F">
        <w:rPr>
          <w:sz w:val="20"/>
          <w:szCs w:val="20"/>
        </w:rPr>
        <w:t>11 allée de Glain</w:t>
      </w:r>
      <w:r w:rsidRPr="00DA0F6F">
        <w:rPr>
          <w:sz w:val="20"/>
          <w:szCs w:val="20"/>
        </w:rPr>
        <w:br/>
        <w:t>64100 Bayonne</w:t>
      </w:r>
    </w:p>
    <w:p w:rsidR="00082C22" w:rsidRPr="00755F24" w:rsidRDefault="00082C22" w:rsidP="00082C22">
      <w:pPr>
        <w:widowControl w:val="0"/>
        <w:autoSpaceDE w:val="0"/>
        <w:autoSpaceDN w:val="0"/>
        <w:adjustRightInd w:val="0"/>
        <w:rPr>
          <w:lang w:eastAsia="ja-JP"/>
        </w:rPr>
      </w:pPr>
    </w:p>
    <w:p w:rsidR="00082C22" w:rsidRPr="00755F24" w:rsidRDefault="00082C22" w:rsidP="00082C22">
      <w:pPr>
        <w:widowControl w:val="0"/>
        <w:autoSpaceDE w:val="0"/>
        <w:autoSpaceDN w:val="0"/>
        <w:adjustRightInd w:val="0"/>
        <w:jc w:val="center"/>
        <w:rPr>
          <w:lang w:eastAsia="ja-JP"/>
        </w:rPr>
      </w:pPr>
      <w:r w:rsidRPr="00755F24">
        <w:rPr>
          <w:lang w:eastAsia="ja-JP"/>
        </w:rPr>
        <w:t>Programme prévisionnel</w:t>
      </w:r>
    </w:p>
    <w:p w:rsidR="00082C22" w:rsidRPr="00126D3C" w:rsidRDefault="00082C22" w:rsidP="00082C22">
      <w:pPr>
        <w:jc w:val="center"/>
        <w:rPr>
          <w:sz w:val="22"/>
          <w:szCs w:val="22"/>
        </w:rPr>
      </w:pPr>
    </w:p>
    <w:p w:rsidR="00082C22" w:rsidRPr="00126D3C" w:rsidRDefault="00082C22" w:rsidP="00082C22">
      <w:pPr>
        <w:jc w:val="center"/>
        <w:rPr>
          <w:sz w:val="22"/>
          <w:szCs w:val="22"/>
        </w:rPr>
      </w:pPr>
      <w:r>
        <w:rPr>
          <w:sz w:val="22"/>
          <w:szCs w:val="22"/>
        </w:rPr>
        <w:t>28</w:t>
      </w:r>
      <w:r w:rsidRPr="00126D3C">
        <w:rPr>
          <w:sz w:val="22"/>
          <w:szCs w:val="22"/>
        </w:rPr>
        <w:t xml:space="preserve"> septembre : Accueil</w:t>
      </w:r>
      <w:r>
        <w:rPr>
          <w:sz w:val="22"/>
          <w:szCs w:val="22"/>
        </w:rPr>
        <w:t xml:space="preserve"> en soirée</w:t>
      </w:r>
    </w:p>
    <w:p w:rsidR="00082C22" w:rsidRPr="00126D3C" w:rsidRDefault="00082C22" w:rsidP="00082C22">
      <w:pPr>
        <w:jc w:val="center"/>
        <w:rPr>
          <w:sz w:val="22"/>
          <w:szCs w:val="22"/>
        </w:rPr>
      </w:pPr>
      <w:r>
        <w:rPr>
          <w:sz w:val="22"/>
          <w:szCs w:val="22"/>
        </w:rPr>
        <w:t>29</w:t>
      </w:r>
      <w:r w:rsidRPr="00126D3C">
        <w:rPr>
          <w:sz w:val="22"/>
          <w:szCs w:val="22"/>
        </w:rPr>
        <w:t xml:space="preserve"> septembre : </w:t>
      </w:r>
      <w:r>
        <w:rPr>
          <w:sz w:val="22"/>
          <w:szCs w:val="22"/>
        </w:rPr>
        <w:t xml:space="preserve">Journée thématique </w:t>
      </w:r>
      <w:r w:rsidRPr="00126D3C">
        <w:rPr>
          <w:sz w:val="22"/>
          <w:szCs w:val="22"/>
        </w:rPr>
        <w:t>« </w:t>
      </w:r>
      <w:r>
        <w:rPr>
          <w:sz w:val="22"/>
          <w:szCs w:val="22"/>
        </w:rPr>
        <w:t>Entre deux mers</w:t>
      </w:r>
      <w:r w:rsidRPr="00126D3C">
        <w:rPr>
          <w:sz w:val="22"/>
          <w:szCs w:val="22"/>
        </w:rPr>
        <w:t> »</w:t>
      </w:r>
    </w:p>
    <w:p w:rsidR="00082C22" w:rsidRPr="00126D3C" w:rsidRDefault="00082C22" w:rsidP="00082C22">
      <w:pPr>
        <w:jc w:val="center"/>
        <w:rPr>
          <w:sz w:val="22"/>
          <w:szCs w:val="22"/>
        </w:rPr>
      </w:pPr>
      <w:r>
        <w:rPr>
          <w:sz w:val="22"/>
          <w:szCs w:val="22"/>
        </w:rPr>
        <w:t>30</w:t>
      </w:r>
      <w:r w:rsidRPr="00126D3C">
        <w:rPr>
          <w:sz w:val="22"/>
          <w:szCs w:val="22"/>
        </w:rPr>
        <w:t xml:space="preserve"> septembre : Actualité de la </w:t>
      </w:r>
      <w:r>
        <w:rPr>
          <w:sz w:val="22"/>
          <w:szCs w:val="22"/>
        </w:rPr>
        <w:t>Recherche</w:t>
      </w:r>
    </w:p>
    <w:p w:rsidR="00082C22" w:rsidRPr="00126D3C" w:rsidRDefault="00082C22" w:rsidP="00082C22">
      <w:pPr>
        <w:jc w:val="center"/>
        <w:rPr>
          <w:sz w:val="22"/>
          <w:szCs w:val="22"/>
        </w:rPr>
      </w:pPr>
      <w:r>
        <w:rPr>
          <w:sz w:val="22"/>
          <w:szCs w:val="22"/>
        </w:rPr>
        <w:t>1</w:t>
      </w:r>
      <w:r w:rsidRPr="00DA0F6F">
        <w:rPr>
          <w:sz w:val="22"/>
          <w:szCs w:val="22"/>
          <w:vertAlign w:val="superscript"/>
        </w:rPr>
        <w:t>er</w:t>
      </w:r>
      <w:r>
        <w:rPr>
          <w:sz w:val="22"/>
          <w:szCs w:val="22"/>
        </w:rPr>
        <w:t xml:space="preserve"> octobre</w:t>
      </w:r>
      <w:r w:rsidRPr="00126D3C">
        <w:rPr>
          <w:sz w:val="22"/>
          <w:szCs w:val="22"/>
        </w:rPr>
        <w:t> : Excursion</w:t>
      </w:r>
    </w:p>
    <w:p w:rsidR="00082C22" w:rsidRDefault="00082C22" w:rsidP="00082C22">
      <w:pPr>
        <w:jc w:val="both"/>
        <w:rPr>
          <w:sz w:val="22"/>
          <w:szCs w:val="22"/>
        </w:rPr>
      </w:pPr>
    </w:p>
    <w:p w:rsidR="00082C22" w:rsidRDefault="00082C22" w:rsidP="00082C22">
      <w:pPr>
        <w:jc w:val="both"/>
        <w:rPr>
          <w:sz w:val="22"/>
          <w:szCs w:val="22"/>
        </w:rPr>
      </w:pPr>
    </w:p>
    <w:p w:rsidR="00082C22" w:rsidRDefault="00082C22" w:rsidP="00082C22">
      <w:pPr>
        <w:jc w:val="both"/>
        <w:rPr>
          <w:sz w:val="22"/>
          <w:szCs w:val="22"/>
        </w:rPr>
      </w:pPr>
    </w:p>
    <w:p w:rsidR="00082C22" w:rsidRDefault="00082C22" w:rsidP="00082C22">
      <w:pPr>
        <w:widowControl w:val="0"/>
        <w:autoSpaceDE w:val="0"/>
        <w:autoSpaceDN w:val="0"/>
        <w:adjustRightInd w:val="0"/>
        <w:rPr>
          <w:i/>
          <w:sz w:val="22"/>
          <w:szCs w:val="22"/>
        </w:rPr>
      </w:pPr>
    </w:p>
    <w:p w:rsidR="00082C22" w:rsidRDefault="00082C22" w:rsidP="00082C22">
      <w:pPr>
        <w:widowControl w:val="0"/>
        <w:autoSpaceDE w:val="0"/>
        <w:autoSpaceDN w:val="0"/>
        <w:adjustRightInd w:val="0"/>
        <w:rPr>
          <w:i/>
          <w:sz w:val="22"/>
          <w:szCs w:val="22"/>
        </w:rPr>
      </w:pPr>
    </w:p>
    <w:p w:rsidR="00082C22" w:rsidRDefault="00082C22" w:rsidP="00082C22">
      <w:pPr>
        <w:widowControl w:val="0"/>
        <w:autoSpaceDE w:val="0"/>
        <w:autoSpaceDN w:val="0"/>
        <w:adjustRightInd w:val="0"/>
        <w:rPr>
          <w:i/>
          <w:color w:val="003AA1"/>
          <w:sz w:val="22"/>
          <w:szCs w:val="22"/>
          <w:lang w:eastAsia="ja-JP"/>
        </w:rPr>
      </w:pPr>
      <w:r w:rsidRPr="00980783">
        <w:rPr>
          <w:i/>
          <w:sz w:val="22"/>
          <w:szCs w:val="22"/>
        </w:rPr>
        <w:t xml:space="preserve">Les propositions de communications accompagnées d’un résumé argumenté sont à faire </w:t>
      </w:r>
      <w:r>
        <w:rPr>
          <w:i/>
          <w:sz w:val="22"/>
          <w:szCs w:val="22"/>
        </w:rPr>
        <w:t>parvenir au plus tard le 31/01/2016</w:t>
      </w:r>
      <w:r w:rsidRPr="00980783">
        <w:rPr>
          <w:i/>
          <w:sz w:val="22"/>
          <w:szCs w:val="22"/>
        </w:rPr>
        <w:t xml:space="preserve"> sous la forme d’un fichier (.doc, docx, .odt) à </w:t>
      </w:r>
      <w:hyperlink r:id="rId7" w:history="1">
        <w:r w:rsidRPr="004B5BB7">
          <w:rPr>
            <w:rStyle w:val="Lienhypertexte"/>
            <w:i/>
            <w:sz w:val="22"/>
            <w:szCs w:val="22"/>
            <w:u w:color="003AA1"/>
            <w:lang w:eastAsia="ja-JP"/>
          </w:rPr>
          <w:t>vincent.ard@univ-tlse2.fr</w:t>
        </w:r>
      </w:hyperlink>
      <w:r>
        <w:rPr>
          <w:i/>
          <w:color w:val="003AA1"/>
          <w:sz w:val="22"/>
          <w:szCs w:val="22"/>
          <w:u w:val="single" w:color="003AA1"/>
          <w:lang w:eastAsia="ja-JP"/>
        </w:rPr>
        <w:t xml:space="preserve"> </w:t>
      </w:r>
      <w:r w:rsidRPr="00980783">
        <w:rPr>
          <w:i/>
          <w:color w:val="003AA1"/>
          <w:sz w:val="22"/>
          <w:szCs w:val="22"/>
          <w:lang w:eastAsia="ja-JP"/>
        </w:rPr>
        <w:t xml:space="preserve"> </w:t>
      </w:r>
      <w:r>
        <w:rPr>
          <w:i/>
          <w:color w:val="003AA1"/>
          <w:sz w:val="22"/>
          <w:szCs w:val="22"/>
          <w:lang w:eastAsia="ja-JP"/>
        </w:rPr>
        <w:br w:type="page"/>
      </w:r>
    </w:p>
    <w:p w:rsidR="00082C22" w:rsidRPr="00755F24" w:rsidRDefault="00082C22" w:rsidP="00082C22">
      <w:pPr>
        <w:widowControl w:val="0"/>
        <w:autoSpaceDE w:val="0"/>
        <w:autoSpaceDN w:val="0"/>
        <w:adjustRightInd w:val="0"/>
        <w:rPr>
          <w:sz w:val="20"/>
          <w:szCs w:val="20"/>
          <w:lang w:eastAsia="ja-JP"/>
        </w:rPr>
      </w:pPr>
    </w:p>
    <w:p w:rsidR="00082C22" w:rsidRDefault="00082C22" w:rsidP="00082C22">
      <w:pPr>
        <w:widowControl w:val="0"/>
        <w:autoSpaceDE w:val="0"/>
        <w:autoSpaceDN w:val="0"/>
        <w:adjustRightInd w:val="0"/>
        <w:ind w:firstLine="284"/>
        <w:jc w:val="center"/>
        <w:rPr>
          <w:sz w:val="32"/>
          <w:szCs w:val="32"/>
          <w:lang w:eastAsia="ja-JP"/>
        </w:rPr>
      </w:pPr>
    </w:p>
    <w:p w:rsidR="00082C22" w:rsidRDefault="00082C22" w:rsidP="00082C22">
      <w:pPr>
        <w:widowControl w:val="0"/>
        <w:autoSpaceDE w:val="0"/>
        <w:autoSpaceDN w:val="0"/>
        <w:adjustRightInd w:val="0"/>
        <w:ind w:firstLine="284"/>
        <w:jc w:val="center"/>
        <w:rPr>
          <w:sz w:val="32"/>
          <w:szCs w:val="32"/>
          <w:lang w:eastAsia="ja-JP"/>
        </w:rPr>
      </w:pPr>
      <w:r w:rsidRPr="00840131">
        <w:rPr>
          <w:rFonts w:ascii="Apple Chancery" w:hAnsi="Apple Chancery" w:cs="Apple Chancery"/>
          <w:noProof/>
          <w:color w:val="E36C0A" w:themeColor="accent6" w:themeShade="BF"/>
          <w:sz w:val="20"/>
          <w:szCs w:val="20"/>
        </w:rPr>
        <w:drawing>
          <wp:inline distT="0" distB="0" distL="0" distR="0">
            <wp:extent cx="1219412" cy="304093"/>
            <wp:effectExtent l="0" t="0" r="0" b="1270"/>
            <wp:docPr id="17"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884" t="18920" r="69104" b="68444"/>
                    <a:stretch/>
                  </pic:blipFill>
                  <pic:spPr>
                    <a:xfrm>
                      <a:off x="0" y="0"/>
                      <a:ext cx="1232364" cy="307323"/>
                    </a:xfrm>
                    <a:prstGeom prst="rect">
                      <a:avLst/>
                    </a:prstGeom>
                  </pic:spPr>
                </pic:pic>
              </a:graphicData>
            </a:graphic>
          </wp:inline>
        </w:drawing>
      </w:r>
    </w:p>
    <w:p w:rsidR="00082C22" w:rsidRPr="00980783" w:rsidRDefault="00082C22" w:rsidP="00082C22">
      <w:pPr>
        <w:widowControl w:val="0"/>
        <w:autoSpaceDE w:val="0"/>
        <w:autoSpaceDN w:val="0"/>
        <w:adjustRightInd w:val="0"/>
        <w:jc w:val="both"/>
        <w:rPr>
          <w:sz w:val="32"/>
          <w:szCs w:val="32"/>
          <w:lang w:eastAsia="ja-JP"/>
        </w:rPr>
      </w:pPr>
    </w:p>
    <w:p w:rsidR="00082C22" w:rsidRPr="00755F24" w:rsidRDefault="00082C22" w:rsidP="00082C22">
      <w:pPr>
        <w:widowControl w:val="0"/>
        <w:autoSpaceDE w:val="0"/>
        <w:autoSpaceDN w:val="0"/>
        <w:adjustRightInd w:val="0"/>
        <w:jc w:val="center"/>
        <w:rPr>
          <w:lang w:eastAsia="ja-JP"/>
        </w:rPr>
      </w:pPr>
      <w:r w:rsidRPr="00755F24">
        <w:rPr>
          <w:lang w:eastAsia="ja-JP"/>
        </w:rPr>
        <w:t>XI</w:t>
      </w:r>
      <w:r>
        <w:rPr>
          <w:lang w:eastAsia="ja-JP"/>
        </w:rPr>
        <w:t>I</w:t>
      </w:r>
      <w:r w:rsidRPr="00755F24">
        <w:rPr>
          <w:vertAlign w:val="superscript"/>
          <w:lang w:eastAsia="ja-JP"/>
        </w:rPr>
        <w:t>e</w:t>
      </w:r>
      <w:r w:rsidRPr="00755F24">
        <w:rPr>
          <w:lang w:eastAsia="ja-JP"/>
        </w:rPr>
        <w:t xml:space="preserve"> Rencontres Méridionales de Préhistoire Récente</w:t>
      </w:r>
    </w:p>
    <w:p w:rsidR="00082C22" w:rsidRPr="00755F24" w:rsidRDefault="00082C22" w:rsidP="00082C22">
      <w:pPr>
        <w:widowControl w:val="0"/>
        <w:autoSpaceDE w:val="0"/>
        <w:autoSpaceDN w:val="0"/>
        <w:adjustRightInd w:val="0"/>
        <w:jc w:val="center"/>
        <w:rPr>
          <w:lang w:eastAsia="ja-JP"/>
        </w:rPr>
      </w:pPr>
      <w:r w:rsidRPr="00755F24">
        <w:rPr>
          <w:lang w:eastAsia="ja-JP"/>
        </w:rPr>
        <w:t>« </w:t>
      </w:r>
      <w:r>
        <w:rPr>
          <w:i/>
          <w:lang w:eastAsia="ja-JP"/>
        </w:rPr>
        <w:t>Entre deux mers</w:t>
      </w:r>
      <w:r w:rsidRPr="00755F24">
        <w:rPr>
          <w:i/>
          <w:lang w:eastAsia="ja-JP"/>
        </w:rPr>
        <w:t> </w:t>
      </w:r>
      <w:r w:rsidRPr="00755F24">
        <w:rPr>
          <w:lang w:eastAsia="ja-JP"/>
        </w:rPr>
        <w:t>»</w:t>
      </w:r>
    </w:p>
    <w:p w:rsidR="00082C22" w:rsidRPr="00755F24" w:rsidRDefault="00082C22" w:rsidP="00082C22">
      <w:pPr>
        <w:widowControl w:val="0"/>
        <w:autoSpaceDE w:val="0"/>
        <w:autoSpaceDN w:val="0"/>
        <w:adjustRightInd w:val="0"/>
        <w:jc w:val="center"/>
        <w:rPr>
          <w:lang w:eastAsia="ja-JP"/>
        </w:rPr>
      </w:pPr>
      <w:r w:rsidRPr="00755F24">
        <w:rPr>
          <w:lang w:eastAsia="ja-JP"/>
        </w:rPr>
        <w:t xml:space="preserve">et </w:t>
      </w:r>
    </w:p>
    <w:p w:rsidR="00082C22" w:rsidRPr="00755F24" w:rsidRDefault="00082C22" w:rsidP="00082C22">
      <w:pPr>
        <w:widowControl w:val="0"/>
        <w:autoSpaceDE w:val="0"/>
        <w:autoSpaceDN w:val="0"/>
        <w:adjustRightInd w:val="0"/>
        <w:jc w:val="center"/>
        <w:rPr>
          <w:lang w:eastAsia="ja-JP"/>
        </w:rPr>
      </w:pPr>
      <w:r w:rsidRPr="00755F24">
        <w:rPr>
          <w:lang w:eastAsia="ja-JP"/>
        </w:rPr>
        <w:t>Actualité de la Recherche</w:t>
      </w:r>
    </w:p>
    <w:p w:rsidR="00082C22" w:rsidRPr="00755F24" w:rsidRDefault="00082C22" w:rsidP="00082C22">
      <w:pPr>
        <w:widowControl w:val="0"/>
        <w:autoSpaceDE w:val="0"/>
        <w:autoSpaceDN w:val="0"/>
        <w:adjustRightInd w:val="0"/>
        <w:jc w:val="center"/>
        <w:rPr>
          <w:lang w:eastAsia="ja-JP"/>
        </w:rPr>
      </w:pPr>
    </w:p>
    <w:p w:rsidR="00082C22" w:rsidRPr="00755F24" w:rsidRDefault="00082C22" w:rsidP="00082C22">
      <w:pPr>
        <w:widowControl w:val="0"/>
        <w:autoSpaceDE w:val="0"/>
        <w:autoSpaceDN w:val="0"/>
        <w:adjustRightInd w:val="0"/>
        <w:jc w:val="center"/>
        <w:rPr>
          <w:lang w:eastAsia="ja-JP"/>
        </w:rPr>
      </w:pPr>
      <w:r>
        <w:rPr>
          <w:lang w:eastAsia="ja-JP"/>
        </w:rPr>
        <w:t>Bayonne</w:t>
      </w:r>
      <w:r w:rsidRPr="00755F24">
        <w:rPr>
          <w:lang w:eastAsia="ja-JP"/>
        </w:rPr>
        <w:t xml:space="preserve"> –</w:t>
      </w:r>
      <w:r>
        <w:rPr>
          <w:lang w:eastAsia="ja-JP"/>
        </w:rPr>
        <w:t xml:space="preserve"> 29 septembre au 1</w:t>
      </w:r>
      <w:r w:rsidRPr="00DA0F6F">
        <w:rPr>
          <w:vertAlign w:val="superscript"/>
          <w:lang w:eastAsia="ja-JP"/>
        </w:rPr>
        <w:t>er</w:t>
      </w:r>
      <w:r>
        <w:rPr>
          <w:lang w:eastAsia="ja-JP"/>
        </w:rPr>
        <w:t xml:space="preserve"> octobre 2016</w:t>
      </w:r>
    </w:p>
    <w:p w:rsidR="00082C22"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0"/>
          <w:szCs w:val="20"/>
          <w:lang w:eastAsia="ja-JP"/>
        </w:rPr>
      </w:pPr>
    </w:p>
    <w:p w:rsidR="00082C22" w:rsidRPr="0089127B"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eastAsia="ja-JP"/>
        </w:rPr>
      </w:pPr>
      <w:r w:rsidRPr="0089127B">
        <w:rPr>
          <w:color w:val="000000"/>
          <w:lang w:eastAsia="ja-JP"/>
        </w:rPr>
        <w:t>Proposition de communication</w:t>
      </w:r>
    </w:p>
    <w:p w:rsidR="00082C22"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0"/>
          <w:szCs w:val="20"/>
          <w:lang w:eastAsia="ja-JP"/>
        </w:rPr>
      </w:pPr>
    </w:p>
    <w:p w:rsidR="00082C22"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0"/>
          <w:szCs w:val="20"/>
          <w:lang w:eastAsia="ja-JP"/>
        </w:rPr>
      </w:pP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 xml:space="preserve">Nom :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 xml:space="preserve">Prénom :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 xml:space="preserve">Statut / fonction :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 xml:space="preserve">Organisme et unité de rattachement :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 xml:space="preserve">Adresse :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 xml:space="preserve">Code Postal :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 xml:space="preserve">Ville :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 xml:space="preserve">Pays :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 xml:space="preserve">Téléphone :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Courriel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 xml:space="preserve">Souhaite proposer :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une communication  </w:t>
      </w:r>
      <w:r w:rsidRPr="00980783">
        <w:rPr>
          <w:rFonts w:ascii="MS Gothic" w:eastAsia="MS Gothic" w:hAnsi="MS Gothic"/>
          <w:color w:val="000000"/>
        </w:rPr>
        <w:t>☐</w:t>
      </w:r>
      <w:r w:rsidRPr="00980783">
        <w:rPr>
          <w:color w:val="000000"/>
          <w:lang w:eastAsia="ja-JP"/>
        </w:rPr>
        <w:t xml:space="preserve">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un poster</w:t>
      </w:r>
      <w:r w:rsidRPr="00980783">
        <w:rPr>
          <w:rFonts w:ascii="MS Gothic" w:eastAsia="MS Gothic" w:hAnsi="MS Gothic"/>
          <w:color w:val="000000"/>
        </w:rPr>
        <w:t xml:space="preserve"> ☐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Dans le cadre de la journée thématique :</w:t>
      </w:r>
      <w:r w:rsidRPr="00980783">
        <w:rPr>
          <w:rFonts w:ascii="MS Gothic" w:eastAsia="MS Gothic" w:hAnsi="MS Gothic" w:hint="eastAsia"/>
          <w:color w:val="000000"/>
        </w:rPr>
        <w:t xml:space="preserve">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 xml:space="preserve">Dans le cadre de la journée d’actualité : </w:t>
      </w:r>
      <w:r w:rsidRPr="00980783">
        <w:rPr>
          <w:rFonts w:ascii="MS Gothic" w:eastAsia="MS Gothic" w:hAnsi="MS Gothic"/>
          <w:color w:val="000000"/>
        </w:rPr>
        <w:t>☐</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Titre proposé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r w:rsidRPr="00980783">
        <w:rPr>
          <w:color w:val="000000"/>
          <w:lang w:eastAsia="ja-JP"/>
        </w:rPr>
        <w:t>Autres auteurs si communication collective :</w:t>
      </w: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p>
    <w:p w:rsidR="00082C22" w:rsidRPr="00980783" w:rsidRDefault="00082C22" w:rsidP="00082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eastAsia="ja-JP"/>
        </w:rPr>
      </w:pPr>
    </w:p>
    <w:p w:rsidR="00082C22" w:rsidRPr="000E1FE0" w:rsidRDefault="00082C22" w:rsidP="00082C22">
      <w:pPr>
        <w:widowControl w:val="0"/>
        <w:autoSpaceDE w:val="0"/>
        <w:autoSpaceDN w:val="0"/>
        <w:adjustRightInd w:val="0"/>
      </w:pPr>
      <w:r w:rsidRPr="00980783">
        <w:rPr>
          <w:color w:val="000000"/>
          <w:lang w:eastAsia="ja-JP"/>
        </w:rPr>
        <w:t>Résumé : (1500 signes maximum)</w:t>
      </w:r>
    </w:p>
    <w:p w:rsidR="001D5CE4" w:rsidRDefault="001C1516">
      <w:bookmarkStart w:id="0" w:name="_GoBack"/>
      <w:bookmarkEnd w:id="0"/>
    </w:p>
    <w:sectPr w:rsidR="001D5CE4" w:rsidSect="008852EE">
      <w:headerReference w:type="default" r:id="rId8"/>
      <w:footerReference w:type="default" r:id="rId9"/>
      <w:pgSz w:w="12240" w:h="15840"/>
      <w:pgMar w:top="1417" w:right="1417" w:bottom="1417" w:left="141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516" w:rsidRDefault="001C1516" w:rsidP="0076557E">
      <w:r>
        <w:separator/>
      </w:r>
    </w:p>
  </w:endnote>
  <w:endnote w:type="continuationSeparator" w:id="1">
    <w:p w:rsidR="001C1516" w:rsidRDefault="001C1516" w:rsidP="007655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ＭＳ 明朝">
    <w:altName w:val="MS Mincho"/>
    <w:charset w:val="4E"/>
    <w:family w:val="auto"/>
    <w:pitch w:val="variable"/>
    <w:sig w:usb0="00000000"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pple Chancery">
    <w:altName w:val="Courier New"/>
    <w:charset w:val="00"/>
    <w:family w:val="auto"/>
    <w:pitch w:val="variable"/>
    <w:sig w:usb0="80000067" w:usb1="00000003" w:usb2="00000000" w:usb3="00000000" w:csb0="000001F3" w:csb1="00000000"/>
  </w:font>
  <w:font w:name="MS Gothic">
    <w:altName w:val="MS Mincho"/>
    <w:panose1 w:val="020B0609070205080204"/>
    <w:charset w:val="80"/>
    <w:family w:val="modern"/>
    <w:notTrueType/>
    <w:pitch w:val="fixed"/>
    <w:sig w:usb0="00000000" w:usb1="08070000" w:usb2="00000010" w:usb3="00000000" w:csb0="0002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7B6" w:rsidRPr="00840131" w:rsidRDefault="001C1516" w:rsidP="00840131">
    <w:pPr>
      <w:pStyle w:val="Pieddepage"/>
      <w:rPr>
        <w:sz w:val="20"/>
        <w:szCs w:val="20"/>
      </w:rPr>
    </w:pPr>
  </w:p>
  <w:p w:rsidR="006347B6" w:rsidRDefault="001C151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516" w:rsidRDefault="001C1516" w:rsidP="0076557E">
      <w:r>
        <w:separator/>
      </w:r>
    </w:p>
  </w:footnote>
  <w:footnote w:type="continuationSeparator" w:id="1">
    <w:p w:rsidR="001C1516" w:rsidRDefault="001C1516" w:rsidP="007655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7B6" w:rsidRPr="00840131" w:rsidRDefault="00082C22" w:rsidP="00D0798F">
    <w:pPr>
      <w:pStyle w:val="Pieddepage"/>
      <w:jc w:val="center"/>
      <w:rPr>
        <w:sz w:val="16"/>
        <w:szCs w:val="16"/>
      </w:rPr>
    </w:pPr>
    <w:r>
      <w:rPr>
        <w:noProof/>
        <w:sz w:val="20"/>
        <w:szCs w:val="20"/>
      </w:rPr>
      <w:drawing>
        <wp:inline distT="0" distB="0" distL="0" distR="0">
          <wp:extent cx="421966" cy="532168"/>
          <wp:effectExtent l="0" t="0" r="10160" b="1270"/>
          <wp:docPr id="8" name="Image 8" descr="Macintosh HD:Users:ingridsenepart:Desktop:Logo MCC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ngridsenepart:Desktop:Logo MCC quadri.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440" cy="532765"/>
                  </a:xfrm>
                  <a:prstGeom prst="rect">
                    <a:avLst/>
                  </a:prstGeom>
                  <a:noFill/>
                  <a:ln>
                    <a:noFill/>
                  </a:ln>
                </pic:spPr>
              </pic:pic>
            </a:graphicData>
          </a:graphic>
        </wp:inline>
      </w:drawing>
    </w:r>
    <w:r>
      <w:rPr>
        <w:noProof/>
        <w:sz w:val="20"/>
        <w:szCs w:val="20"/>
      </w:rPr>
      <w:drawing>
        <wp:inline distT="0" distB="0" distL="0" distR="0">
          <wp:extent cx="1063364" cy="337645"/>
          <wp:effectExtent l="0" t="0" r="3810" b="0"/>
          <wp:docPr id="9" name="Image 9" descr="Macintosh HD:Users:ingridsenepart:Desktop:logo Inr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ngridsenepart:Desktop:logo Inrap.pdf"/>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64199" cy="337910"/>
                  </a:xfrm>
                  <a:prstGeom prst="rect">
                    <a:avLst/>
                  </a:prstGeom>
                  <a:noFill/>
                  <a:ln>
                    <a:noFill/>
                  </a:ln>
                </pic:spPr>
              </pic:pic>
            </a:graphicData>
          </a:graphic>
        </wp:inline>
      </w:drawing>
    </w:r>
    <w:r w:rsidRPr="00840131">
      <w:rPr>
        <w:rFonts w:ascii="Apple Chancery" w:hAnsi="Apple Chancery" w:cs="Apple Chancery"/>
        <w:noProof/>
        <w:color w:val="E36C0A" w:themeColor="accent6" w:themeShade="BF"/>
        <w:sz w:val="20"/>
        <w:szCs w:val="20"/>
      </w:rPr>
      <w:drawing>
        <wp:inline distT="0" distB="0" distL="0" distR="0">
          <wp:extent cx="805489" cy="395605"/>
          <wp:effectExtent l="0" t="0" r="7620" b="10795"/>
          <wp:docPr id="11"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rotWithShape="1">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884" t="18920" r="69104" b="68444"/>
                  <a:stretch/>
                </pic:blipFill>
                <pic:spPr>
                  <a:xfrm>
                    <a:off x="0" y="0"/>
                    <a:ext cx="813809" cy="399691"/>
                  </a:xfrm>
                  <a:prstGeom prst="rect">
                    <a:avLst/>
                  </a:prstGeom>
                </pic:spPr>
              </pic:pic>
            </a:graphicData>
          </a:graphic>
        </wp:inline>
      </w:drawing>
    </w:r>
    <w:r>
      <w:rPr>
        <w:noProof/>
      </w:rPr>
      <w:drawing>
        <wp:inline distT="0" distB="0" distL="0" distR="0">
          <wp:extent cx="571500" cy="362139"/>
          <wp:effectExtent l="0" t="0" r="0" b="0"/>
          <wp:docPr id="3" name="Image 3" descr="C:\Users\VincentArd\AppData\Local\Microsoft\Windows\Temporary Internet Files\Content.Word\UPP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ncentArd\AppData\Local\Microsoft\Windows\Temporary Internet Files\Content.Word\UPPB_logo.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4178" cy="363836"/>
                  </a:xfrm>
                  <a:prstGeom prst="rect">
                    <a:avLst/>
                  </a:prstGeom>
                  <a:noFill/>
                  <a:ln>
                    <a:noFill/>
                  </a:ln>
                </pic:spPr>
              </pic:pic>
            </a:graphicData>
          </a:graphic>
        </wp:inline>
      </w:drawing>
    </w:r>
    <w:r>
      <w:rPr>
        <w:noProof/>
        <w:sz w:val="20"/>
        <w:szCs w:val="20"/>
      </w:rPr>
      <w:drawing>
        <wp:inline distT="0" distB="0" distL="0" distR="0">
          <wp:extent cx="328658" cy="373071"/>
          <wp:effectExtent l="0" t="0" r="0" b="8255"/>
          <wp:docPr id="2" name="Image 2" descr="C:\Users\VincentArd\AppData\Local\Microsoft\Windows\Temporary Internet Files\Content.Word\logo_bayo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ncentArd\AppData\Local\Microsoft\Windows\Temporary Internet Files\Content.Word\logo_bayonne.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9384" cy="385246"/>
                  </a:xfrm>
                  <a:prstGeom prst="rect">
                    <a:avLst/>
                  </a:prstGeom>
                  <a:noFill/>
                  <a:ln>
                    <a:noFill/>
                  </a:ln>
                </pic:spPr>
              </pic:pic>
            </a:graphicData>
          </a:graphic>
        </wp:inline>
      </w:drawing>
    </w:r>
    <w:r>
      <w:rPr>
        <w:noProof/>
        <w:sz w:val="22"/>
        <w:szCs w:val="22"/>
      </w:rPr>
      <w:drawing>
        <wp:inline distT="0" distB="0" distL="0" distR="0">
          <wp:extent cx="579120" cy="386080"/>
          <wp:effectExtent l="0" t="0" r="0" b="0"/>
          <wp:docPr id="4" name="Image 4" descr="C:\Users\VincentArd\AppData\Local\Microsoft\Windows\Temporary Internet Files\Content.Word\logo_biarrit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ncentArd\AppData\Local\Microsoft\Windows\Temporary Internet Files\Content.Word\logo_biarritz.gif"/>
                  <pic:cNvPicPr>
                    <a:picLocks noChangeAspect="1" noChangeArrowheads="1" noCrop="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9120" cy="386080"/>
                  </a:xfrm>
                  <a:prstGeom prst="rect">
                    <a:avLst/>
                  </a:prstGeom>
                  <a:noFill/>
                  <a:ln>
                    <a:noFill/>
                  </a:ln>
                </pic:spPr>
              </pic:pic>
            </a:graphicData>
          </a:graphic>
        </wp:inline>
      </w:drawing>
    </w:r>
    <w:r>
      <w:rPr>
        <w:noProof/>
        <w:sz w:val="22"/>
        <w:szCs w:val="22"/>
      </w:rPr>
      <w:drawing>
        <wp:inline distT="0" distB="0" distL="0" distR="0">
          <wp:extent cx="358140" cy="375194"/>
          <wp:effectExtent l="0" t="0" r="3810" b="6350"/>
          <wp:docPr id="5" name="Image 5" descr="C:\Users\VincentArd\AppData\Local\Microsoft\Windows\Temporary Internet Files\Content.Word\logo_musee_ba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ncentArd\AppData\Local\Microsoft\Windows\Temporary Internet Files\Content.Word\logo_musee_basque.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0200" cy="377352"/>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isplayHorizontalDrawingGridEvery w:val="0"/>
  <w:displayVerticalDrawingGridEvery w:val="0"/>
  <w:doNotUseMarginsForDrawingGridOrigin/>
  <w:noPunctuationKerning/>
  <w:characterSpacingControl w:val="doNotCompress"/>
  <w:savePreviewPicture/>
  <w:footnotePr>
    <w:footnote w:id="0"/>
    <w:footnote w:id="1"/>
  </w:footnotePr>
  <w:endnotePr>
    <w:endnote w:id="0"/>
    <w:endnote w:id="1"/>
  </w:endnotePr>
  <w:compat>
    <w:useFELayout/>
  </w:compat>
  <w:rsids>
    <w:rsidRoot w:val="00082C22"/>
    <w:rsid w:val="00082C22"/>
    <w:rsid w:val="00127CBF"/>
    <w:rsid w:val="001705CE"/>
    <w:rsid w:val="001C1516"/>
    <w:rsid w:val="0076557E"/>
    <w:rsid w:val="009D0D98"/>
    <w:rsid w:val="00E716D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C22"/>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082C22"/>
    <w:pPr>
      <w:tabs>
        <w:tab w:val="center" w:pos="4536"/>
        <w:tab w:val="right" w:pos="9072"/>
      </w:tabs>
    </w:pPr>
  </w:style>
  <w:style w:type="character" w:customStyle="1" w:styleId="PieddepageCar">
    <w:name w:val="Pied de page Car"/>
    <w:basedOn w:val="Policepardfaut"/>
    <w:link w:val="Pieddepage"/>
    <w:uiPriority w:val="99"/>
    <w:rsid w:val="00082C22"/>
    <w:rPr>
      <w:sz w:val="24"/>
      <w:szCs w:val="24"/>
      <w:lang w:eastAsia="fr-FR"/>
    </w:rPr>
  </w:style>
  <w:style w:type="character" w:styleId="Lienhypertexte">
    <w:name w:val="Hyperlink"/>
    <w:basedOn w:val="Policepardfaut"/>
    <w:uiPriority w:val="99"/>
    <w:unhideWhenUsed/>
    <w:rsid w:val="00082C22"/>
    <w:rPr>
      <w:color w:val="0000FF" w:themeColor="hyperlink"/>
      <w:u w:val="single"/>
    </w:rPr>
  </w:style>
  <w:style w:type="paragraph" w:styleId="Textedebulles">
    <w:name w:val="Balloon Text"/>
    <w:basedOn w:val="Normal"/>
    <w:link w:val="TextedebullesCar"/>
    <w:uiPriority w:val="99"/>
    <w:semiHidden/>
    <w:unhideWhenUsed/>
    <w:rsid w:val="00082C2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82C22"/>
    <w:rPr>
      <w:rFonts w:ascii="Lucida Grande"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C22"/>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082C22"/>
    <w:pPr>
      <w:tabs>
        <w:tab w:val="center" w:pos="4536"/>
        <w:tab w:val="right" w:pos="9072"/>
      </w:tabs>
    </w:pPr>
  </w:style>
  <w:style w:type="character" w:customStyle="1" w:styleId="PieddepageCar">
    <w:name w:val="Pied de page Car"/>
    <w:basedOn w:val="Policepardfaut"/>
    <w:link w:val="Pieddepage"/>
    <w:uiPriority w:val="99"/>
    <w:rsid w:val="00082C22"/>
    <w:rPr>
      <w:sz w:val="24"/>
      <w:szCs w:val="24"/>
      <w:lang w:eastAsia="fr-FR"/>
    </w:rPr>
  </w:style>
  <w:style w:type="character" w:styleId="Lienhypertexte">
    <w:name w:val="Hyperlink"/>
    <w:basedOn w:val="Policepardfaut"/>
    <w:uiPriority w:val="99"/>
    <w:unhideWhenUsed/>
    <w:rsid w:val="00082C22"/>
    <w:rPr>
      <w:color w:val="0000FF" w:themeColor="hyperlink"/>
      <w:u w:val="single"/>
    </w:rPr>
  </w:style>
  <w:style w:type="paragraph" w:styleId="Textedebulles">
    <w:name w:val="Balloon Text"/>
    <w:basedOn w:val="Normal"/>
    <w:link w:val="TextedebullesCar"/>
    <w:uiPriority w:val="99"/>
    <w:semiHidden/>
    <w:unhideWhenUsed/>
    <w:rsid w:val="00082C2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82C22"/>
    <w:rPr>
      <w:rFonts w:ascii="Lucida Grande" w:hAnsi="Lucida Grande" w:cs="Lucida Grande"/>
      <w:sz w:val="18"/>
      <w:szCs w:val="18"/>
      <w:lang w:eastAsia="fr-F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vincent.ard@univ-tlse2.fr" TargetMode="External"/><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7.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6.gif"/><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1407</Words>
  <Characters>7742</Characters>
  <Application>Microsoft Office Word</Application>
  <DocSecurity>0</DocSecurity>
  <Lines>64</Lines>
  <Paragraphs>18</Paragraphs>
  <ScaleCrop>false</ScaleCrop>
  <Company/>
  <LinksUpToDate>false</LinksUpToDate>
  <CharactersWithSpaces>9131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Sénépart</dc:creator>
  <cp:keywords/>
  <dc:description/>
  <cp:lastModifiedBy>commelin</cp:lastModifiedBy>
  <cp:revision>2</cp:revision>
  <dcterms:created xsi:type="dcterms:W3CDTF">2015-10-20T08:34:00Z</dcterms:created>
  <dcterms:modified xsi:type="dcterms:W3CDTF">2015-10-20T08:34:00Z</dcterms:modified>
</cp:coreProperties>
</file>